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bidiVisual/>
        <w:tblW w:w="8392"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5"/>
        <w:gridCol w:w="2499"/>
        <w:gridCol w:w="5571"/>
        <w:gridCol w:w="7"/>
      </w:tblGrid>
      <w:tr w:rsidR="001417C6" w:rsidRPr="00E10C9D" w:rsidTr="001417C6">
        <w:trPr>
          <w:jc w:val="center"/>
        </w:trPr>
        <w:tc>
          <w:tcPr>
            <w:tcW w:w="315" w:type="dxa"/>
            <w:hideMark/>
          </w:tcPr>
          <w:p w:rsidR="001417C6" w:rsidRPr="00E10C9D" w:rsidRDefault="001417C6">
            <w:pPr>
              <w:jc w:val="both"/>
              <w:rPr>
                <w:rFonts w:ascii="David" w:hAnsi="David"/>
                <w:b/>
                <w:bCs/>
                <w:sz w:val="26"/>
                <w:szCs w:val="26"/>
              </w:rPr>
            </w:pPr>
            <w:bookmarkStart w:id="0" w:name="_GoBack"/>
            <w:bookmarkEnd w:id="0"/>
          </w:p>
        </w:tc>
        <w:tc>
          <w:tcPr>
            <w:tcW w:w="8077" w:type="dxa"/>
            <w:gridSpan w:val="3"/>
            <w:hideMark/>
          </w:tcPr>
          <w:p w:rsidR="001417C6" w:rsidRPr="00E10C9D" w:rsidRDefault="001417C6">
            <w:pPr>
              <w:jc w:val="left"/>
              <w:rPr>
                <w:rFonts w:ascii="David" w:hAnsi="David"/>
                <w:b/>
                <w:bCs/>
                <w:sz w:val="26"/>
                <w:szCs w:val="26"/>
                <w:rtl/>
              </w:rPr>
            </w:pPr>
          </w:p>
          <w:p w:rsidR="001417C6" w:rsidRPr="00E10C9D" w:rsidRDefault="001417C6">
            <w:pPr>
              <w:jc w:val="left"/>
              <w:rPr>
                <w:rFonts w:ascii="David" w:hAnsi="David"/>
                <w:b/>
                <w:bCs/>
                <w:sz w:val="26"/>
                <w:szCs w:val="26"/>
                <w:rtl/>
              </w:rPr>
            </w:pPr>
          </w:p>
          <w:p w:rsidR="001417C6" w:rsidRPr="00E10C9D" w:rsidRDefault="001417C6" w:rsidP="001417C6">
            <w:pPr>
              <w:pStyle w:val="a5"/>
              <w:jc w:val="center"/>
              <w:rPr>
                <w:rFonts w:ascii="David" w:hAnsi="David"/>
                <w:noProof w:val="0"/>
                <w:sz w:val="28"/>
                <w:szCs w:val="28"/>
              </w:rPr>
            </w:pPr>
            <w:r w:rsidRPr="00E10C9D">
              <w:rPr>
                <w:rFonts w:ascii="David" w:hAnsi="David"/>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6071870" cy="1104265"/>
                      <wp:effectExtent l="0" t="1895475" r="0" b="1962785"/>
                      <wp:wrapNone/>
                      <wp:docPr id="5" name="תיבת טקסט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1417C6" w:rsidRDefault="001417C6" w:rsidP="001417C6">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5"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" filled="f" stroked="f">
                      <v:stroke joinstyle="round"/>
                      <o:lock v:ext="edit" aspectratio="t" shapetype="t"/>
                      <v:textbox style="mso-fit-shape-to-text:t">
                        <w:txbxContent>
                          <w:p w:rsidR="001417C6" w:rsidRDefault="001417C6" w:rsidP="001417C6">
                            <w:pPr>
                              <w:pStyle w:val="NormalWeb"/>
                              <w:bidi/>
                              <w:spacing w:before="0" w:beforeAutospacing="0" w:after="0" w:afterAutospacing="0"/>
                              <w:jc w:val="center"/>
                            </w:pPr>
                          </w:p>
                        </w:txbxContent>
                      </v:textbox>
                      <w10:wrap anchorx="margin" anchory="margin"/>
                    </v:shape>
                  </w:pict>
                </mc:Fallback>
              </mc:AlternateContent>
            </w:r>
            <w:r w:rsidRPr="00E10C9D">
              <w:rPr>
                <w:rFonts w:ascii="David" w:hAnsi="David"/>
                <w:sz w:val="28"/>
                <w:szCs w:val="28"/>
              </w:rPr>
              <w:drawing>
                <wp:inline distT="0" distB="0" distL="0" distR="0">
                  <wp:extent cx="371475" cy="466725"/>
                  <wp:effectExtent l="0" t="0" r="9525" b="9525"/>
                  <wp:docPr id="4" name="תמונה 4"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567"/>
              <w:gridCol w:w="3294"/>
            </w:tblGrid>
            <w:tr w:rsidR="001417C6" w:rsidRPr="00E10C9D" w:rsidTr="001417C6">
              <w:trPr>
                <w:trHeight w:val="670"/>
                <w:jc w:val="center"/>
              </w:trPr>
              <w:sdt>
                <w:sdtPr>
                  <w:rPr>
                    <w:rFonts w:ascii="David" w:hAnsi="David"/>
                    <w:rtl/>
                  </w:rPr>
                  <w:alias w:val="1174"/>
                  <w:tag w:val="1174"/>
                  <w:id w:val="-1775709220"/>
                  <w:text/>
                </w:sdtPr>
                <w:sdtEndPr/>
                <w:sdtContent>
                  <w:tc>
                    <w:tcPr>
                      <w:tcW w:w="8721" w:type="dxa"/>
                      <w:gridSpan w:val="2"/>
                      <w:hideMark/>
                    </w:tcPr>
                    <w:p w:rsidR="001417C6" w:rsidRPr="00E10C9D" w:rsidRDefault="00E10C9D" w:rsidP="00E10C9D">
                      <w:pPr>
                        <w:pStyle w:val="a5"/>
                        <w:tabs>
                          <w:tab w:val="left" w:pos="1690"/>
                          <w:tab w:val="center" w:pos="3822"/>
                        </w:tabs>
                        <w:rPr>
                          <w:rFonts w:ascii="David" w:hAnsi="David"/>
                          <w:rtl/>
                        </w:rPr>
                      </w:pPr>
                      <w:r w:rsidRPr="00E10C9D">
                        <w:rPr>
                          <w:rFonts w:ascii="David" w:hAnsi="David"/>
                          <w:b/>
                          <w:bCs/>
                          <w:noProof w:val="0"/>
                          <w:color w:val="000080"/>
                          <w:rtl/>
                        </w:rPr>
                        <w:tab/>
                      </w:r>
                      <w:r w:rsidRPr="00E10C9D">
                        <w:rPr>
                          <w:rFonts w:ascii="David" w:hAnsi="David"/>
                          <w:b/>
                          <w:bCs/>
                          <w:noProof w:val="0"/>
                          <w:color w:val="000080"/>
                          <w:rtl/>
                        </w:rPr>
                        <w:tab/>
                      </w:r>
                      <w:r w:rsidR="001417C6" w:rsidRPr="00E10C9D">
                        <w:rPr>
                          <w:rFonts w:ascii="David" w:hAnsi="David"/>
                          <w:b/>
                          <w:bCs/>
                          <w:noProof w:val="0"/>
                          <w:color w:val="000080"/>
                          <w:rtl/>
                        </w:rPr>
                        <w:t>בית משפט לענייני משפחה באילת</w:t>
                      </w:r>
                    </w:p>
                  </w:tc>
                </w:sdtContent>
              </w:sdt>
            </w:tr>
            <w:tr w:rsidR="001417C6" w:rsidRPr="00E10C9D" w:rsidTr="001417C6">
              <w:trPr>
                <w:trHeight w:val="337"/>
                <w:jc w:val="center"/>
              </w:trPr>
              <w:tc>
                <w:tcPr>
                  <w:tcW w:w="5047" w:type="dxa"/>
                </w:tcPr>
                <w:p w:rsidR="001417C6" w:rsidRPr="00E10C9D" w:rsidRDefault="001417C6" w:rsidP="001417C6">
                  <w:pPr>
                    <w:rPr>
                      <w:rFonts w:ascii="David" w:hAnsi="David"/>
                      <w:b/>
                      <w:bCs/>
                      <w:noProof w:val="0"/>
                      <w:sz w:val="26"/>
                      <w:szCs w:val="26"/>
                      <w:rtl/>
                    </w:rPr>
                  </w:pPr>
                </w:p>
              </w:tc>
              <w:tc>
                <w:tcPr>
                  <w:tcW w:w="3674" w:type="dxa"/>
                </w:tcPr>
                <w:p w:rsidR="001417C6" w:rsidRPr="00E10C9D" w:rsidRDefault="001417C6" w:rsidP="001417C6">
                  <w:pPr>
                    <w:pStyle w:val="a5"/>
                    <w:jc w:val="right"/>
                    <w:rPr>
                      <w:rFonts w:ascii="David" w:hAnsi="David"/>
                      <w:b/>
                      <w:bCs/>
                      <w:noProof w:val="0"/>
                      <w:sz w:val="26"/>
                      <w:szCs w:val="26"/>
                      <w:rtl/>
                    </w:rPr>
                  </w:pPr>
                </w:p>
              </w:tc>
            </w:tr>
            <w:tr w:rsidR="001417C6" w:rsidRPr="00E10C9D" w:rsidTr="001417C6">
              <w:trPr>
                <w:trHeight w:val="337"/>
                <w:jc w:val="center"/>
              </w:trPr>
              <w:tc>
                <w:tcPr>
                  <w:tcW w:w="8721" w:type="dxa"/>
                  <w:gridSpan w:val="2"/>
                </w:tcPr>
                <w:p w:rsidR="001417C6" w:rsidRPr="00E10C9D" w:rsidRDefault="00413574" w:rsidP="00E10C9D">
                  <w:pPr>
                    <w:rPr>
                      <w:rFonts w:ascii="David" w:hAnsi="David"/>
                      <w:b/>
                      <w:bCs/>
                      <w:noProof w:val="0"/>
                      <w:sz w:val="26"/>
                      <w:szCs w:val="26"/>
                      <w:rtl/>
                    </w:rPr>
                  </w:pPr>
                  <w:sdt>
                    <w:sdtPr>
                      <w:rPr>
                        <w:rFonts w:ascii="David" w:hAnsi="David"/>
                        <w:b/>
                        <w:bCs/>
                        <w:noProof w:val="0"/>
                        <w:sz w:val="26"/>
                        <w:szCs w:val="26"/>
                        <w:rtl/>
                      </w:rPr>
                      <w:alias w:val="1170"/>
                      <w:tag w:val="1170"/>
                      <w:id w:val="299038016"/>
                      <w:text w:multiLine="1"/>
                    </w:sdtPr>
                    <w:sdtEndPr/>
                    <w:sdtContent>
                      <w:proofErr w:type="spellStart"/>
                      <w:r w:rsidR="001417C6" w:rsidRPr="00E10C9D">
                        <w:rPr>
                          <w:rFonts w:ascii="David" w:hAnsi="David"/>
                          <w:b/>
                          <w:bCs/>
                          <w:noProof w:val="0"/>
                          <w:sz w:val="26"/>
                          <w:szCs w:val="26"/>
                          <w:rtl/>
                        </w:rPr>
                        <w:t>תמ"ש</w:t>
                      </w:r>
                      <w:proofErr w:type="spellEnd"/>
                    </w:sdtContent>
                  </w:sdt>
                  <w:r w:rsidR="001417C6" w:rsidRPr="00E10C9D">
                    <w:rPr>
                      <w:rFonts w:ascii="David" w:hAnsi="David"/>
                      <w:b/>
                      <w:bCs/>
                      <w:noProof w:val="0"/>
                      <w:sz w:val="26"/>
                      <w:szCs w:val="26"/>
                      <w:rtl/>
                    </w:rPr>
                    <w:t xml:space="preserve"> </w:t>
                  </w:r>
                  <w:sdt>
                    <w:sdtPr>
                      <w:rPr>
                        <w:rFonts w:ascii="David" w:hAnsi="David"/>
                        <w:b/>
                        <w:bCs/>
                        <w:noProof w:val="0"/>
                        <w:sz w:val="26"/>
                        <w:szCs w:val="26"/>
                        <w:rtl/>
                      </w:rPr>
                      <w:alias w:val="1171"/>
                      <w:tag w:val="1171"/>
                      <w:id w:val="81650337"/>
                      <w:text w:multiLine="1"/>
                    </w:sdtPr>
                    <w:sdtEndPr/>
                    <w:sdtContent>
                      <w:r w:rsidR="001417C6" w:rsidRPr="00E10C9D">
                        <w:rPr>
                          <w:rFonts w:ascii="David" w:hAnsi="David"/>
                          <w:b/>
                          <w:bCs/>
                          <w:noProof w:val="0"/>
                          <w:sz w:val="26"/>
                          <w:szCs w:val="26"/>
                          <w:rtl/>
                        </w:rPr>
                        <w:t>53111-10-20</w:t>
                      </w:r>
                    </w:sdtContent>
                  </w:sdt>
                  <w:r w:rsidR="001417C6" w:rsidRPr="00E10C9D">
                    <w:rPr>
                      <w:rFonts w:ascii="David" w:hAnsi="David"/>
                      <w:b/>
                      <w:bCs/>
                      <w:noProof w:val="0"/>
                      <w:sz w:val="26"/>
                      <w:szCs w:val="26"/>
                      <w:rtl/>
                    </w:rPr>
                    <w:t xml:space="preserve"> </w:t>
                  </w:r>
                  <w:sdt>
                    <w:sdtPr>
                      <w:rPr>
                        <w:rFonts w:ascii="David" w:hAnsi="David"/>
                        <w:b/>
                        <w:bCs/>
                        <w:noProof w:val="0"/>
                        <w:sz w:val="26"/>
                        <w:szCs w:val="26"/>
                        <w:rtl/>
                      </w:rPr>
                      <w:alias w:val="1172"/>
                      <w:tag w:val="1172"/>
                      <w:id w:val="-1742169342"/>
                      <w:text w:multiLine="1"/>
                    </w:sdtPr>
                    <w:sdtEndPr/>
                    <w:sdtContent>
                      <w:r w:rsidR="001417C6" w:rsidRPr="00E10C9D">
                        <w:rPr>
                          <w:rFonts w:ascii="David" w:hAnsi="David"/>
                          <w:b/>
                          <w:bCs/>
                          <w:noProof w:val="0"/>
                          <w:sz w:val="26"/>
                          <w:szCs w:val="26"/>
                          <w:rtl/>
                        </w:rPr>
                        <w:t>ע</w:t>
                      </w:r>
                      <w:r w:rsidR="00E10C9D" w:rsidRPr="00E10C9D">
                        <w:rPr>
                          <w:rFonts w:ascii="David" w:hAnsi="David"/>
                          <w:b/>
                          <w:bCs/>
                          <w:noProof w:val="0"/>
                          <w:sz w:val="26"/>
                          <w:szCs w:val="26"/>
                          <w:rtl/>
                        </w:rPr>
                        <w:t>.</w:t>
                      </w:r>
                      <w:r w:rsidR="001417C6" w:rsidRPr="00E10C9D">
                        <w:rPr>
                          <w:rFonts w:ascii="David" w:hAnsi="David"/>
                          <w:b/>
                          <w:bCs/>
                          <w:noProof w:val="0"/>
                          <w:sz w:val="26"/>
                          <w:szCs w:val="26"/>
                          <w:rtl/>
                        </w:rPr>
                        <w:t xml:space="preserve"> נ' ע</w:t>
                      </w:r>
                    </w:sdtContent>
                  </w:sdt>
                </w:p>
                <w:p w:rsidR="001417C6" w:rsidRPr="00E10C9D" w:rsidRDefault="001417C6" w:rsidP="001417C6">
                  <w:pPr>
                    <w:rPr>
                      <w:rFonts w:ascii="David" w:hAnsi="David"/>
                      <w:b/>
                      <w:bCs/>
                      <w:noProof w:val="0"/>
                      <w:sz w:val="2"/>
                      <w:szCs w:val="2"/>
                      <w:rtl/>
                    </w:rPr>
                  </w:pPr>
                </w:p>
                <w:p w:rsidR="001417C6" w:rsidRPr="00E10C9D" w:rsidRDefault="001417C6" w:rsidP="001417C6">
                  <w:pPr>
                    <w:rPr>
                      <w:rFonts w:ascii="David" w:hAnsi="David"/>
                      <w:b/>
                      <w:bCs/>
                      <w:noProof w:val="0"/>
                      <w:sz w:val="26"/>
                      <w:szCs w:val="26"/>
                      <w:rtl/>
                    </w:rPr>
                  </w:pPr>
                  <w:r w:rsidRPr="00E10C9D">
                    <w:rPr>
                      <w:rFonts w:ascii="David" w:hAnsi="David"/>
                      <w:b/>
                      <w:bCs/>
                      <w:noProof w:val="0"/>
                      <w:sz w:val="26"/>
                      <w:szCs w:val="26"/>
                      <w:rtl/>
                    </w:rPr>
                    <w:t xml:space="preserve"> </w:t>
                  </w:r>
                </w:p>
                <w:p w:rsidR="001417C6" w:rsidRPr="00E10C9D" w:rsidRDefault="001417C6" w:rsidP="001417C6">
                  <w:pPr>
                    <w:rPr>
                      <w:rFonts w:ascii="David" w:hAnsi="David"/>
                      <w:b/>
                      <w:bCs/>
                      <w:noProof w:val="0"/>
                      <w:sz w:val="26"/>
                      <w:szCs w:val="26"/>
                      <w:rtl/>
                    </w:rPr>
                  </w:pPr>
                </w:p>
              </w:tc>
            </w:tr>
          </w:tbl>
          <w:p w:rsidR="001417C6" w:rsidRPr="00E10C9D" w:rsidRDefault="001417C6">
            <w:pPr>
              <w:jc w:val="left"/>
              <w:rPr>
                <w:rFonts w:ascii="David" w:hAnsi="David"/>
                <w:sz w:val="26"/>
                <w:szCs w:val="26"/>
                <w:rtl/>
              </w:rPr>
            </w:pPr>
            <w:r w:rsidRPr="00E10C9D">
              <w:rPr>
                <w:rFonts w:ascii="David" w:hAnsi="David"/>
                <w:b/>
                <w:bCs/>
                <w:sz w:val="26"/>
                <w:szCs w:val="26"/>
                <w:rtl/>
              </w:rPr>
              <w:t>בפני   כב' סגן הנשיא, השופט מרדכי (מוטי) לוי</w:t>
            </w:r>
          </w:p>
          <w:p w:rsidR="001417C6" w:rsidRPr="00E10C9D" w:rsidRDefault="001417C6">
            <w:pPr>
              <w:jc w:val="left"/>
              <w:rPr>
                <w:rFonts w:ascii="David" w:hAnsi="David"/>
                <w:sz w:val="26"/>
                <w:szCs w:val="26"/>
              </w:rPr>
            </w:pPr>
          </w:p>
        </w:tc>
      </w:tr>
      <w:tr w:rsidR="001417C6" w:rsidRPr="00E10C9D" w:rsidTr="001417C6">
        <w:trPr>
          <w:gridAfter w:val="1"/>
          <w:wAfter w:w="7" w:type="dxa"/>
          <w:jc w:val="center"/>
        </w:trPr>
        <w:tc>
          <w:tcPr>
            <w:tcW w:w="2814" w:type="dxa"/>
            <w:gridSpan w:val="2"/>
          </w:tcPr>
          <w:p w:rsidR="001417C6" w:rsidRPr="00E10C9D" w:rsidRDefault="001417C6">
            <w:pPr>
              <w:bidi w:val="0"/>
              <w:rPr>
                <w:rFonts w:ascii="David" w:hAnsi="David"/>
                <w:b/>
                <w:bCs/>
                <w:noProof w:val="0"/>
                <w:sz w:val="28"/>
                <w:szCs w:val="28"/>
                <w:rtl/>
              </w:rPr>
            </w:pPr>
          </w:p>
          <w:p w:rsidR="001417C6" w:rsidRPr="00E10C9D" w:rsidRDefault="001417C6">
            <w:pPr>
              <w:jc w:val="left"/>
              <w:rPr>
                <w:rFonts w:ascii="David" w:hAnsi="David"/>
                <w:b/>
                <w:bCs/>
                <w:noProof w:val="0"/>
                <w:sz w:val="26"/>
                <w:szCs w:val="26"/>
                <w:rtl/>
              </w:rPr>
            </w:pPr>
            <w:r w:rsidRPr="00E10C9D">
              <w:rPr>
                <w:rFonts w:ascii="David" w:hAnsi="David"/>
                <w:b/>
                <w:bCs/>
                <w:noProof w:val="0"/>
                <w:sz w:val="26"/>
                <w:szCs w:val="26"/>
                <w:rtl/>
              </w:rPr>
              <w:t>תובע</w:t>
            </w:r>
          </w:p>
          <w:p w:rsidR="001417C6" w:rsidRPr="00E10C9D" w:rsidRDefault="001417C6">
            <w:pPr>
              <w:jc w:val="left"/>
              <w:rPr>
                <w:rFonts w:ascii="David" w:hAnsi="David"/>
                <w:b/>
                <w:bCs/>
                <w:noProof w:val="0"/>
                <w:rtl/>
              </w:rPr>
            </w:pPr>
            <w:r w:rsidRPr="00E10C9D">
              <w:rPr>
                <w:rFonts w:ascii="David" w:hAnsi="David"/>
                <w:b/>
                <w:bCs/>
                <w:noProof w:val="0"/>
                <w:rtl/>
              </w:rPr>
              <w:t>בתביעה שבכותרת</w:t>
            </w:r>
          </w:p>
          <w:p w:rsidR="001417C6" w:rsidRPr="00E10C9D" w:rsidRDefault="001417C6">
            <w:pPr>
              <w:jc w:val="left"/>
              <w:rPr>
                <w:rFonts w:ascii="David" w:hAnsi="David"/>
                <w:b/>
                <w:bCs/>
                <w:noProof w:val="0"/>
                <w:rtl/>
              </w:rPr>
            </w:pPr>
            <w:proofErr w:type="spellStart"/>
            <w:r w:rsidRPr="00E10C9D">
              <w:rPr>
                <w:rFonts w:ascii="David" w:hAnsi="David"/>
                <w:b/>
                <w:bCs/>
                <w:noProof w:val="0"/>
                <w:rtl/>
              </w:rPr>
              <w:t>ובתמ"ש</w:t>
            </w:r>
            <w:proofErr w:type="spellEnd"/>
            <w:r w:rsidRPr="00E10C9D">
              <w:rPr>
                <w:rFonts w:ascii="David" w:hAnsi="David"/>
                <w:b/>
                <w:bCs/>
                <w:noProof w:val="0"/>
                <w:rtl/>
              </w:rPr>
              <w:t xml:space="preserve"> 1887-03-21</w:t>
            </w:r>
          </w:p>
          <w:p w:rsidR="001417C6" w:rsidRPr="00E10C9D" w:rsidRDefault="001417C6">
            <w:pPr>
              <w:jc w:val="left"/>
              <w:rPr>
                <w:rFonts w:ascii="David" w:hAnsi="David"/>
                <w:b/>
                <w:bCs/>
                <w:noProof w:val="0"/>
                <w:sz w:val="28"/>
                <w:szCs w:val="28"/>
                <w:rtl/>
              </w:rPr>
            </w:pPr>
            <w:r w:rsidRPr="00E10C9D">
              <w:rPr>
                <w:rFonts w:ascii="David" w:hAnsi="David"/>
                <w:b/>
                <w:bCs/>
                <w:noProof w:val="0"/>
                <w:rtl/>
              </w:rPr>
              <w:t>והנתבע שכנגד בתביעה זו</w:t>
            </w:r>
          </w:p>
        </w:tc>
        <w:tc>
          <w:tcPr>
            <w:tcW w:w="5571" w:type="dxa"/>
          </w:tcPr>
          <w:p w:rsidR="001417C6" w:rsidRPr="00E10C9D" w:rsidRDefault="001417C6">
            <w:pPr>
              <w:rPr>
                <w:rFonts w:ascii="David" w:hAnsi="David"/>
                <w:b/>
                <w:bCs/>
                <w:noProof w:val="0"/>
                <w:sz w:val="28"/>
                <w:szCs w:val="28"/>
              </w:rPr>
            </w:pPr>
          </w:p>
          <w:p w:rsidR="001417C6" w:rsidRPr="00E10C9D" w:rsidRDefault="001417C6" w:rsidP="00E10C9D">
            <w:pPr>
              <w:jc w:val="left"/>
              <w:rPr>
                <w:rFonts w:ascii="David" w:hAnsi="David"/>
                <w:b/>
                <w:bCs/>
                <w:noProof w:val="0"/>
                <w:sz w:val="26"/>
                <w:szCs w:val="26"/>
                <w:rtl/>
              </w:rPr>
            </w:pPr>
            <w:r w:rsidRPr="00E10C9D">
              <w:rPr>
                <w:rFonts w:ascii="David" w:hAnsi="David"/>
                <w:b/>
                <w:bCs/>
                <w:noProof w:val="0"/>
                <w:sz w:val="26"/>
                <w:szCs w:val="26"/>
                <w:rtl/>
              </w:rPr>
              <w:t xml:space="preserve">      מ</w:t>
            </w:r>
            <w:r w:rsidR="00E10C9D" w:rsidRPr="00E10C9D">
              <w:rPr>
                <w:rFonts w:ascii="David" w:hAnsi="David"/>
                <w:b/>
                <w:bCs/>
                <w:noProof w:val="0"/>
                <w:sz w:val="26"/>
                <w:szCs w:val="26"/>
                <w:rtl/>
              </w:rPr>
              <w:t>.</w:t>
            </w:r>
            <w:r w:rsidRPr="00E10C9D">
              <w:rPr>
                <w:rFonts w:ascii="David" w:hAnsi="David"/>
                <w:b/>
                <w:bCs/>
                <w:noProof w:val="0"/>
                <w:sz w:val="26"/>
                <w:szCs w:val="26"/>
                <w:rtl/>
              </w:rPr>
              <w:t>ע</w:t>
            </w:r>
            <w:r w:rsidR="00E10C9D" w:rsidRPr="00E10C9D">
              <w:rPr>
                <w:rFonts w:ascii="David" w:hAnsi="David"/>
                <w:b/>
                <w:bCs/>
                <w:noProof w:val="0"/>
                <w:sz w:val="26"/>
                <w:szCs w:val="26"/>
                <w:rtl/>
              </w:rPr>
              <w:t>.</w:t>
            </w:r>
          </w:p>
          <w:p w:rsidR="001417C6" w:rsidRPr="00E10C9D" w:rsidRDefault="001417C6">
            <w:pPr>
              <w:jc w:val="left"/>
              <w:rPr>
                <w:rFonts w:ascii="David" w:hAnsi="David"/>
                <w:noProof w:val="0"/>
                <w:rtl/>
              </w:rPr>
            </w:pPr>
            <w:r w:rsidRPr="00E10C9D">
              <w:rPr>
                <w:rFonts w:ascii="David" w:hAnsi="David"/>
                <w:b/>
                <w:bCs/>
                <w:noProof w:val="0"/>
                <w:sz w:val="26"/>
                <w:szCs w:val="26"/>
                <w:rtl/>
              </w:rPr>
              <w:t xml:space="preserve">       </w:t>
            </w:r>
            <w:r w:rsidRPr="00E10C9D">
              <w:rPr>
                <w:rFonts w:ascii="David" w:hAnsi="David"/>
                <w:noProof w:val="0"/>
                <w:rtl/>
              </w:rPr>
              <w:t xml:space="preserve">מיוצג ע"י עוה"ד אתיה עדי </w:t>
            </w:r>
            <w:proofErr w:type="spellStart"/>
            <w:r w:rsidRPr="00E10C9D">
              <w:rPr>
                <w:rFonts w:ascii="David" w:hAnsi="David"/>
                <w:noProof w:val="0"/>
                <w:rtl/>
              </w:rPr>
              <w:t>אסרף</w:t>
            </w:r>
            <w:proofErr w:type="spellEnd"/>
            <w:r w:rsidRPr="00E10C9D">
              <w:rPr>
                <w:rFonts w:ascii="David" w:hAnsi="David"/>
                <w:noProof w:val="0"/>
                <w:rtl/>
              </w:rPr>
              <w:t xml:space="preserve"> ועודד מל</w:t>
            </w:r>
          </w:p>
        </w:tc>
      </w:tr>
      <w:tr w:rsidR="001417C6" w:rsidRPr="00E10C9D" w:rsidTr="001417C6">
        <w:trPr>
          <w:gridAfter w:val="1"/>
          <w:wAfter w:w="7" w:type="dxa"/>
          <w:jc w:val="center"/>
        </w:trPr>
        <w:tc>
          <w:tcPr>
            <w:tcW w:w="8385" w:type="dxa"/>
            <w:gridSpan w:val="3"/>
          </w:tcPr>
          <w:p w:rsidR="001417C6" w:rsidRPr="00E10C9D" w:rsidRDefault="001417C6">
            <w:pPr>
              <w:rPr>
                <w:rFonts w:ascii="David" w:hAnsi="David"/>
                <w:b/>
                <w:bCs/>
                <w:noProof w:val="0"/>
                <w:sz w:val="28"/>
                <w:szCs w:val="28"/>
              </w:rPr>
            </w:pPr>
          </w:p>
          <w:p w:rsidR="001417C6" w:rsidRPr="00E10C9D" w:rsidRDefault="001417C6">
            <w:pPr>
              <w:jc w:val="center"/>
              <w:rPr>
                <w:rFonts w:ascii="David" w:hAnsi="David"/>
                <w:b/>
                <w:bCs/>
                <w:noProof w:val="0"/>
                <w:sz w:val="28"/>
                <w:rtl/>
              </w:rPr>
            </w:pPr>
            <w:r w:rsidRPr="00E10C9D">
              <w:rPr>
                <w:rFonts w:ascii="David" w:hAnsi="David"/>
                <w:b/>
                <w:bCs/>
                <w:noProof w:val="0"/>
                <w:sz w:val="28"/>
                <w:rtl/>
              </w:rPr>
              <w:t>נגד</w:t>
            </w:r>
          </w:p>
          <w:p w:rsidR="001417C6" w:rsidRPr="00E10C9D" w:rsidRDefault="001417C6">
            <w:pPr>
              <w:rPr>
                <w:rFonts w:ascii="David" w:hAnsi="David"/>
                <w:b/>
                <w:bCs/>
                <w:noProof w:val="0"/>
                <w:sz w:val="28"/>
                <w:szCs w:val="28"/>
                <w:rtl/>
              </w:rPr>
            </w:pPr>
          </w:p>
        </w:tc>
      </w:tr>
      <w:tr w:rsidR="001417C6" w:rsidRPr="00E10C9D" w:rsidTr="001417C6">
        <w:trPr>
          <w:gridAfter w:val="1"/>
          <w:wAfter w:w="7" w:type="dxa"/>
          <w:jc w:val="center"/>
        </w:trPr>
        <w:tc>
          <w:tcPr>
            <w:tcW w:w="2814" w:type="dxa"/>
            <w:gridSpan w:val="2"/>
          </w:tcPr>
          <w:p w:rsidR="001417C6" w:rsidRPr="00E10C9D" w:rsidRDefault="001417C6">
            <w:pPr>
              <w:rPr>
                <w:rFonts w:ascii="David" w:hAnsi="David"/>
                <w:b/>
                <w:bCs/>
                <w:noProof w:val="0"/>
                <w:sz w:val="28"/>
                <w:szCs w:val="28"/>
              </w:rPr>
            </w:pPr>
          </w:p>
          <w:p w:rsidR="001417C6" w:rsidRPr="00E10C9D" w:rsidRDefault="001417C6">
            <w:pPr>
              <w:jc w:val="left"/>
              <w:rPr>
                <w:rFonts w:ascii="David" w:hAnsi="David"/>
                <w:b/>
                <w:bCs/>
                <w:noProof w:val="0"/>
                <w:sz w:val="26"/>
                <w:szCs w:val="26"/>
                <w:rtl/>
              </w:rPr>
            </w:pPr>
            <w:r w:rsidRPr="00E10C9D">
              <w:rPr>
                <w:rFonts w:ascii="David" w:hAnsi="David"/>
                <w:b/>
                <w:bCs/>
                <w:noProof w:val="0"/>
                <w:sz w:val="26"/>
                <w:szCs w:val="26"/>
                <w:rtl/>
              </w:rPr>
              <w:t>נתבעות</w:t>
            </w:r>
          </w:p>
        </w:tc>
        <w:tc>
          <w:tcPr>
            <w:tcW w:w="5571" w:type="dxa"/>
          </w:tcPr>
          <w:p w:rsidR="001417C6" w:rsidRPr="00E10C9D" w:rsidRDefault="001417C6">
            <w:pPr>
              <w:rPr>
                <w:rFonts w:ascii="David" w:hAnsi="David"/>
                <w:b/>
                <w:bCs/>
                <w:noProof w:val="0"/>
                <w:sz w:val="26"/>
                <w:szCs w:val="26"/>
              </w:rPr>
            </w:pPr>
          </w:p>
          <w:p w:rsidR="001417C6" w:rsidRPr="00E10C9D" w:rsidRDefault="001417C6" w:rsidP="00E10C9D">
            <w:pPr>
              <w:pStyle w:val="a3"/>
              <w:numPr>
                <w:ilvl w:val="0"/>
                <w:numId w:val="1"/>
              </w:numPr>
              <w:jc w:val="left"/>
              <w:rPr>
                <w:rFonts w:ascii="David" w:hAnsi="David"/>
                <w:b/>
                <w:bCs/>
                <w:noProof w:val="0"/>
                <w:sz w:val="28"/>
                <w:szCs w:val="28"/>
                <w:rtl/>
              </w:rPr>
            </w:pPr>
            <w:r w:rsidRPr="00E10C9D">
              <w:rPr>
                <w:rFonts w:ascii="David" w:hAnsi="David"/>
                <w:b/>
                <w:bCs/>
                <w:noProof w:val="0"/>
                <w:sz w:val="26"/>
                <w:szCs w:val="26"/>
                <w:rtl/>
              </w:rPr>
              <w:t xml:space="preserve"> א</w:t>
            </w:r>
            <w:r w:rsidR="00E10C9D" w:rsidRPr="00E10C9D">
              <w:rPr>
                <w:rFonts w:ascii="David" w:hAnsi="David"/>
                <w:b/>
                <w:bCs/>
                <w:noProof w:val="0"/>
                <w:sz w:val="26"/>
                <w:szCs w:val="26"/>
                <w:rtl/>
              </w:rPr>
              <w:t>.</w:t>
            </w:r>
            <w:r w:rsidRPr="00E10C9D">
              <w:rPr>
                <w:rFonts w:ascii="David" w:hAnsi="David"/>
                <w:b/>
                <w:bCs/>
                <w:noProof w:val="0"/>
                <w:sz w:val="26"/>
                <w:szCs w:val="26"/>
                <w:rtl/>
              </w:rPr>
              <w:t>ע</w:t>
            </w:r>
            <w:r w:rsidR="00E10C9D" w:rsidRPr="00E10C9D">
              <w:rPr>
                <w:rFonts w:ascii="David" w:hAnsi="David"/>
                <w:b/>
                <w:bCs/>
                <w:noProof w:val="0"/>
                <w:sz w:val="26"/>
                <w:szCs w:val="26"/>
                <w:rtl/>
              </w:rPr>
              <w:t>.</w:t>
            </w:r>
          </w:p>
        </w:tc>
      </w:tr>
    </w:tbl>
    <w:p w:rsidR="001417C6" w:rsidRPr="00E10C9D" w:rsidRDefault="001417C6" w:rsidP="001417C6">
      <w:pPr>
        <w:rPr>
          <w:rFonts w:ascii="David" w:hAnsi="David"/>
          <w:b/>
          <w:bCs/>
          <w:noProof w:val="0"/>
        </w:rPr>
      </w:pPr>
      <w:r w:rsidRPr="00E10C9D">
        <w:rPr>
          <w:rFonts w:ascii="David" w:hAnsi="David"/>
          <w:b/>
          <w:bCs/>
          <w:noProof w:val="0"/>
          <w:rtl/>
        </w:rPr>
        <w:t>בתביעה שבכותרת</w:t>
      </w:r>
    </w:p>
    <w:p w:rsidR="001417C6" w:rsidRPr="00E10C9D" w:rsidRDefault="001417C6" w:rsidP="001417C6">
      <w:pPr>
        <w:rPr>
          <w:rFonts w:ascii="David" w:hAnsi="David"/>
          <w:b/>
          <w:bCs/>
          <w:noProof w:val="0"/>
          <w:rtl/>
        </w:rPr>
      </w:pPr>
      <w:proofErr w:type="spellStart"/>
      <w:r w:rsidRPr="00E10C9D">
        <w:rPr>
          <w:rFonts w:ascii="David" w:hAnsi="David"/>
          <w:b/>
          <w:bCs/>
          <w:noProof w:val="0"/>
          <w:rtl/>
        </w:rPr>
        <w:t>ובתמ"ש</w:t>
      </w:r>
      <w:proofErr w:type="spellEnd"/>
      <w:r w:rsidRPr="00E10C9D">
        <w:rPr>
          <w:rFonts w:ascii="David" w:hAnsi="David"/>
          <w:b/>
          <w:bCs/>
          <w:noProof w:val="0"/>
          <w:rtl/>
        </w:rPr>
        <w:t xml:space="preserve"> 1887-03-21</w:t>
      </w:r>
    </w:p>
    <w:p w:rsidR="001417C6" w:rsidRPr="00E10C9D" w:rsidRDefault="001417C6" w:rsidP="001417C6">
      <w:pPr>
        <w:suppressLineNumbers/>
        <w:rPr>
          <w:rFonts w:ascii="David" w:hAnsi="David"/>
          <w:sz w:val="28"/>
          <w:szCs w:val="28"/>
          <w:rtl/>
        </w:rPr>
      </w:pPr>
      <w:r w:rsidRPr="00E10C9D">
        <w:rPr>
          <w:rFonts w:ascii="David" w:hAnsi="David"/>
          <w:b/>
          <w:bCs/>
          <w:noProof w:val="0"/>
          <w:rtl/>
        </w:rPr>
        <w:t>והתובעת שכנגד בתביעה זו</w:t>
      </w:r>
    </w:p>
    <w:p w:rsidR="001417C6" w:rsidRPr="00E10C9D" w:rsidRDefault="001417C6" w:rsidP="001417C6">
      <w:pPr>
        <w:suppressLineNumbers/>
        <w:rPr>
          <w:rFonts w:ascii="David" w:hAnsi="David"/>
          <w:rtl/>
        </w:rPr>
      </w:pPr>
    </w:p>
    <w:p w:rsidR="001417C6" w:rsidRPr="00E10C9D" w:rsidRDefault="001417C6" w:rsidP="00E10C9D">
      <w:pPr>
        <w:suppressLineNumbers/>
        <w:rPr>
          <w:rFonts w:ascii="David" w:hAnsi="David"/>
          <w:b/>
          <w:bCs/>
          <w:sz w:val="26"/>
          <w:szCs w:val="26"/>
          <w:rtl/>
        </w:rPr>
      </w:pPr>
      <w:r w:rsidRPr="00E10C9D">
        <w:rPr>
          <w:rFonts w:ascii="David" w:hAnsi="David"/>
          <w:b/>
          <w:bCs/>
          <w:rtl/>
        </w:rPr>
        <w:t>נתבעת בתביעה שבכותרת</w:t>
      </w:r>
      <w:r w:rsidRPr="00E10C9D">
        <w:rPr>
          <w:rFonts w:ascii="David" w:hAnsi="David"/>
          <w:rtl/>
        </w:rPr>
        <w:tab/>
        <w:t xml:space="preserve">         </w:t>
      </w:r>
      <w:r w:rsidRPr="00E10C9D">
        <w:rPr>
          <w:rFonts w:ascii="David" w:hAnsi="David"/>
          <w:b/>
          <w:bCs/>
          <w:sz w:val="26"/>
          <w:szCs w:val="26"/>
          <w:rtl/>
        </w:rPr>
        <w:t xml:space="preserve">  2.     י</w:t>
      </w:r>
      <w:r w:rsidR="00E10C9D" w:rsidRPr="00E10C9D">
        <w:rPr>
          <w:rFonts w:ascii="David" w:hAnsi="David"/>
          <w:b/>
          <w:bCs/>
          <w:sz w:val="26"/>
          <w:szCs w:val="26"/>
          <w:rtl/>
        </w:rPr>
        <w:t>.</w:t>
      </w:r>
      <w:r w:rsidRPr="00E10C9D">
        <w:rPr>
          <w:rFonts w:ascii="David" w:hAnsi="David"/>
          <w:b/>
          <w:bCs/>
          <w:sz w:val="26"/>
          <w:szCs w:val="26"/>
          <w:rtl/>
        </w:rPr>
        <w:t>ר</w:t>
      </w:r>
      <w:r w:rsidR="00E10C9D" w:rsidRPr="00E10C9D">
        <w:rPr>
          <w:rFonts w:ascii="David" w:hAnsi="David"/>
          <w:b/>
          <w:bCs/>
          <w:sz w:val="26"/>
          <w:szCs w:val="26"/>
          <w:rtl/>
        </w:rPr>
        <w:t>.</w:t>
      </w:r>
    </w:p>
    <w:p w:rsidR="001417C6" w:rsidRPr="00E10C9D" w:rsidRDefault="001417C6" w:rsidP="001417C6">
      <w:pPr>
        <w:suppressLineNumbers/>
        <w:rPr>
          <w:rFonts w:ascii="David" w:hAnsi="David"/>
          <w:rtl/>
        </w:rPr>
      </w:pPr>
      <w:r w:rsidRPr="00E10C9D">
        <w:rPr>
          <w:rFonts w:ascii="David" w:hAnsi="David"/>
          <w:b/>
          <w:bCs/>
          <w:sz w:val="26"/>
          <w:szCs w:val="26"/>
          <w:rtl/>
        </w:rPr>
        <w:t xml:space="preserve">                                                                  </w:t>
      </w:r>
      <w:r w:rsidRPr="00E10C9D">
        <w:rPr>
          <w:rFonts w:ascii="David" w:hAnsi="David"/>
          <w:rtl/>
        </w:rPr>
        <w:t>שתיהן מיוצגות ע"י עו"ד אסף יוחאי</w:t>
      </w:r>
    </w:p>
    <w:p w:rsidR="001417C6" w:rsidRPr="00E10C9D" w:rsidRDefault="001417C6" w:rsidP="001417C6">
      <w:pPr>
        <w:suppressLineNumbers/>
        <w:rPr>
          <w:rFonts w:ascii="David" w:hAnsi="David"/>
          <w:b/>
          <w:bCs/>
          <w:sz w:val="26"/>
          <w:szCs w:val="26"/>
          <w:rtl/>
        </w:rPr>
      </w:pPr>
    </w:p>
    <w:p w:rsidR="001417C6" w:rsidRPr="00E10C9D" w:rsidRDefault="001417C6" w:rsidP="001417C6">
      <w:pPr>
        <w:suppressLineNumbers/>
        <w:rPr>
          <w:rFonts w:ascii="David" w:hAnsi="David"/>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417C6" w:rsidRPr="00E10C9D" w:rsidTr="001417C6">
        <w:trPr>
          <w:jc w:val="center"/>
        </w:trPr>
        <w:tc>
          <w:tcPr>
            <w:tcW w:w="8820" w:type="dxa"/>
            <w:hideMark/>
          </w:tcPr>
          <w:p w:rsidR="001417C6" w:rsidRPr="00E10C9D" w:rsidRDefault="001417C6">
            <w:pPr>
              <w:bidi w:val="0"/>
              <w:jc w:val="center"/>
              <w:rPr>
                <w:rFonts w:ascii="David" w:hAnsi="David"/>
                <w:b/>
                <w:bCs/>
                <w:noProof w:val="0"/>
                <w:sz w:val="28"/>
                <w:szCs w:val="28"/>
                <w:u w:val="single"/>
              </w:rPr>
            </w:pPr>
            <w:r w:rsidRPr="00E10C9D">
              <w:rPr>
                <w:rFonts w:ascii="David" w:hAnsi="David"/>
                <w:b/>
                <w:bCs/>
                <w:noProof w:val="0"/>
                <w:sz w:val="28"/>
                <w:szCs w:val="28"/>
                <w:u w:val="single"/>
                <w:rtl/>
              </w:rPr>
              <w:t>פסק דין</w:t>
            </w:r>
          </w:p>
        </w:tc>
      </w:tr>
    </w:tbl>
    <w:p w:rsidR="001417C6" w:rsidRPr="00E10C9D" w:rsidRDefault="001417C6" w:rsidP="001417C6">
      <w:pPr>
        <w:spacing w:line="360" w:lineRule="auto"/>
        <w:jc w:val="both"/>
        <w:rPr>
          <w:rFonts w:ascii="David" w:hAnsi="David"/>
          <w:noProof w:val="0"/>
        </w:rPr>
      </w:pPr>
    </w:p>
    <w:p w:rsidR="001417C6" w:rsidRPr="00E10C9D" w:rsidRDefault="001417C6" w:rsidP="001417C6">
      <w:pPr>
        <w:spacing w:line="360" w:lineRule="auto"/>
        <w:jc w:val="both"/>
        <w:rPr>
          <w:rFonts w:ascii="David" w:hAnsi="David"/>
          <w:b/>
          <w:bCs/>
          <w:noProof w:val="0"/>
          <w:sz w:val="28"/>
          <w:szCs w:val="28"/>
          <w:rtl/>
        </w:rPr>
      </w:pPr>
      <w:r w:rsidRPr="00E10C9D">
        <w:rPr>
          <w:rFonts w:ascii="David" w:hAnsi="David"/>
          <w:b/>
          <w:bCs/>
          <w:sz w:val="28"/>
          <w:szCs w:val="28"/>
          <w:u w:val="double"/>
          <w:rtl/>
        </w:rPr>
        <w:t>מבוא</w:t>
      </w:r>
      <w:r w:rsidRPr="00E10C9D">
        <w:rPr>
          <w:rFonts w:ascii="David" w:hAnsi="David"/>
          <w:b/>
          <w:bCs/>
          <w:sz w:val="28"/>
          <w:szCs w:val="28"/>
          <w:rtl/>
        </w:rPr>
        <w:t>:</w:t>
      </w:r>
    </w:p>
    <w:p w:rsidR="001417C6" w:rsidRPr="00E10C9D" w:rsidRDefault="001417C6" w:rsidP="001417C6">
      <w:pPr>
        <w:spacing w:line="360" w:lineRule="auto"/>
        <w:ind w:left="720" w:hanging="720"/>
        <w:jc w:val="both"/>
        <w:rPr>
          <w:rFonts w:ascii="David" w:hAnsi="David"/>
        </w:rPr>
      </w:pPr>
      <w:r w:rsidRPr="00E10C9D">
        <w:rPr>
          <w:rFonts w:ascii="David" w:hAnsi="David"/>
          <w:rtl/>
        </w:rPr>
        <w:t>1.</w:t>
      </w:r>
      <w:r w:rsidRPr="00E10C9D">
        <w:rPr>
          <w:rFonts w:ascii="David" w:hAnsi="David"/>
          <w:rtl/>
        </w:rPr>
        <w:tab/>
        <w:t>לפני 3 תביעות לשון הרע מכוח חוק איסור לשון הרע,תשכ"ה-1965 (להלן-</w:t>
      </w:r>
      <w:r w:rsidRPr="00E10C9D">
        <w:rPr>
          <w:rFonts w:ascii="David" w:hAnsi="David"/>
          <w:b/>
          <w:bCs/>
          <w:rtl/>
        </w:rPr>
        <w:t>החוק</w:t>
      </w:r>
      <w:r w:rsidRPr="00E10C9D">
        <w:rPr>
          <w:rFonts w:ascii="David" w:hAnsi="David"/>
          <w:rtl/>
        </w:rPr>
        <w:t xml:space="preserve">) שהוגשו בין הצדדים כשתביעות אלו הן המשך לניהול תביעות הדדיות בין הצדדים מה שנהוג לכנות סכסוך בעצימות גבוהה. בחיי המעשה מתבטאים הדברים במסעות נקמה, אובססיה, הקטנת האחר, ניסיונות בכיפופי ידיים ועוד כשתביעות אלו הן חלק מאותו מארג הנופל כאמור למטבע הלשון סכסוך בעצימות גבוהה. </w:t>
      </w:r>
    </w:p>
    <w:p w:rsidR="001417C6" w:rsidRPr="00E10C9D" w:rsidRDefault="001417C6" w:rsidP="001417C6">
      <w:pPr>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בן הזוג התובע (להלן-</w:t>
      </w:r>
      <w:r w:rsidRPr="00E10C9D">
        <w:rPr>
          <w:rFonts w:ascii="David" w:hAnsi="David"/>
          <w:b/>
          <w:bCs/>
          <w:rtl/>
        </w:rPr>
        <w:t>מ.</w:t>
      </w:r>
      <w:r w:rsidRPr="00E10C9D">
        <w:rPr>
          <w:rFonts w:ascii="David" w:hAnsi="David"/>
          <w:rtl/>
        </w:rPr>
        <w:t>)  ובת הזוג הנתבעת (להלן-</w:t>
      </w:r>
      <w:r w:rsidRPr="00E10C9D">
        <w:rPr>
          <w:rFonts w:ascii="David" w:hAnsi="David"/>
          <w:b/>
          <w:bCs/>
          <w:rtl/>
        </w:rPr>
        <w:t>א.</w:t>
      </w:r>
      <w:r w:rsidRPr="00E10C9D">
        <w:rPr>
          <w:rFonts w:ascii="David" w:hAnsi="David"/>
          <w:rtl/>
        </w:rPr>
        <w:t>) היו בני זוג נשואים שהתגרשו והם הורים לשני ילדים קטנים. הבן הבכור אובחן על הרצף האוטיסטי.</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התביעה  הראשונה (</w:t>
      </w:r>
      <w:r w:rsidRPr="00E10C9D">
        <w:rPr>
          <w:rFonts w:ascii="David" w:hAnsi="David"/>
          <w:u w:val="single"/>
          <w:rtl/>
        </w:rPr>
        <w:t>תמ"ש 1887-03-21</w:t>
      </w:r>
      <w:r w:rsidRPr="00E10C9D">
        <w:rPr>
          <w:rFonts w:ascii="David" w:hAnsi="David"/>
          <w:rtl/>
        </w:rPr>
        <w:t xml:space="preserve">) הוגשה על ידי מ. תביעה שהוגדרה "נזיקית לשון הרע  (תלונת שווא במשטרה) רשלנות". (להלן- </w:t>
      </w:r>
      <w:r w:rsidRPr="00E10C9D">
        <w:rPr>
          <w:rFonts w:ascii="David" w:hAnsi="David"/>
          <w:b/>
          <w:bCs/>
          <w:rtl/>
        </w:rPr>
        <w:t>התביעה</w:t>
      </w:r>
      <w:r w:rsidRPr="00E10C9D">
        <w:rPr>
          <w:rFonts w:ascii="David" w:hAnsi="David"/>
          <w:rtl/>
        </w:rPr>
        <w:t xml:space="preserve">). התביעה הוגשה  כנגד א. ואחת נוספת, חברתה של בת הזוג הגב' י.ר. (להלן- </w:t>
      </w:r>
      <w:r w:rsidRPr="00E10C9D">
        <w:rPr>
          <w:rFonts w:ascii="David" w:hAnsi="David"/>
          <w:b/>
          <w:bCs/>
          <w:rtl/>
        </w:rPr>
        <w:t>החָברה</w:t>
      </w:r>
      <w:r w:rsidRPr="00E10C9D">
        <w:rPr>
          <w:rFonts w:ascii="David" w:hAnsi="David"/>
          <w:rtl/>
        </w:rPr>
        <w:t>). התביעה הוגשה גם מכוח פקודת הנזיקין.</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u w:val="single"/>
          <w:rtl/>
        </w:rPr>
      </w:pPr>
      <w:r w:rsidRPr="00E10C9D">
        <w:rPr>
          <w:rFonts w:ascii="David" w:hAnsi="David"/>
          <w:rtl/>
        </w:rPr>
        <w:lastRenderedPageBreak/>
        <w:t xml:space="preserve">התביעה השנייה  הוגשה אף היא על ידי מ. </w:t>
      </w:r>
      <w:r w:rsidRPr="00E10C9D">
        <w:rPr>
          <w:rFonts w:ascii="David" w:hAnsi="David"/>
          <w:u w:val="single"/>
          <w:rtl/>
        </w:rPr>
        <w:t>(תמ"ש 53111-10-20</w:t>
      </w:r>
      <w:r w:rsidRPr="00E10C9D">
        <w:rPr>
          <w:rFonts w:ascii="David" w:hAnsi="David"/>
          <w:rtl/>
        </w:rPr>
        <w:t xml:space="preserve"> ) הוגדרה "כספית, לשון הרע, פגיעה בפרטיות" ובה תבע את בת הזוג א. בשל העלאה של שני סרטונים לפייסבוק מהם עולה, לטענתו, פגיעה באחריותו ההורית כאב לילדיו (להלן-</w:t>
      </w:r>
      <w:r w:rsidRPr="00E10C9D">
        <w:rPr>
          <w:rFonts w:ascii="David" w:hAnsi="David"/>
          <w:b/>
          <w:bCs/>
          <w:rtl/>
        </w:rPr>
        <w:t>התביעה</w:t>
      </w:r>
      <w:r w:rsidRPr="00E10C9D">
        <w:rPr>
          <w:rFonts w:ascii="David" w:hAnsi="David"/>
          <w:rtl/>
        </w:rPr>
        <w:t xml:space="preserve"> </w:t>
      </w:r>
      <w:r w:rsidRPr="00E10C9D">
        <w:rPr>
          <w:rFonts w:ascii="David" w:hAnsi="David"/>
          <w:b/>
          <w:bCs/>
          <w:rtl/>
        </w:rPr>
        <w:t>השנייה</w:t>
      </w:r>
      <w:r w:rsidRPr="00E10C9D">
        <w:rPr>
          <w:rFonts w:ascii="David" w:hAnsi="David"/>
          <w:rtl/>
        </w:rPr>
        <w:t>). עם הגשת כתב הגנתה הגישה בת הזוג א. תביעה שכנגד על אמירות חמורות פוגעניות ושקריות אותן אמר בן הזוג מ. בזמנים שונים ובדרכים שונות שנועדו, לטענתה, לפגוע בה ולבזותה בראש חוצות (להלן-</w:t>
      </w:r>
      <w:r w:rsidRPr="00E10C9D">
        <w:rPr>
          <w:rFonts w:ascii="David" w:hAnsi="David"/>
          <w:b/>
          <w:bCs/>
          <w:rtl/>
        </w:rPr>
        <w:t>התביעה שכנגד</w:t>
      </w:r>
      <w:r w:rsidRPr="00E10C9D">
        <w:rPr>
          <w:rFonts w:ascii="David" w:hAnsi="David"/>
          <w:rtl/>
        </w:rPr>
        <w:t>).</w:t>
      </w:r>
    </w:p>
    <w:p w:rsidR="001417C6" w:rsidRPr="00E10C9D" w:rsidRDefault="001417C6" w:rsidP="001417C6">
      <w:pPr>
        <w:spacing w:line="360" w:lineRule="auto"/>
        <w:ind w:left="720"/>
        <w:jc w:val="both"/>
        <w:rPr>
          <w:rFonts w:ascii="David" w:hAnsi="David"/>
          <w:u w:val="single"/>
          <w:rtl/>
        </w:rPr>
      </w:pPr>
    </w:p>
    <w:p w:rsidR="001417C6" w:rsidRPr="00E10C9D" w:rsidRDefault="001417C6" w:rsidP="001417C6">
      <w:pPr>
        <w:spacing w:line="360" w:lineRule="auto"/>
        <w:ind w:left="720"/>
        <w:jc w:val="both"/>
        <w:rPr>
          <w:rFonts w:ascii="David" w:hAnsi="David"/>
        </w:rPr>
      </w:pPr>
      <w:r w:rsidRPr="00E10C9D">
        <w:rPr>
          <w:rFonts w:ascii="David" w:hAnsi="David"/>
          <w:rtl/>
        </w:rPr>
        <w:t xml:space="preserve">הדיון בתביעות התקיים במאוחד. בשאלות השנויות במחלוקת העידו רק בעלי הדין עצמם והחקירות היו קצרות. הצדדים סיכמו בכתב.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b/>
          <w:bCs/>
          <w:sz w:val="28"/>
          <w:szCs w:val="28"/>
          <w:u w:val="single"/>
          <w:rtl/>
        </w:rPr>
      </w:pPr>
      <w:r w:rsidRPr="00E10C9D">
        <w:rPr>
          <w:rFonts w:ascii="David" w:hAnsi="David"/>
          <w:rtl/>
        </w:rPr>
        <w:t>בפסק הדין, על פי המקרה, לבד מהקיצורים דלעיל המתארים את הצדדים יוצגו הצדדים או מי מהם גם כ- תובע, נתבעת/ות, תובעת שכנגד ונתבע שכנגד.</w:t>
      </w:r>
    </w:p>
    <w:p w:rsidR="001417C6" w:rsidRPr="00E10C9D" w:rsidRDefault="001417C6" w:rsidP="001417C6">
      <w:pPr>
        <w:spacing w:line="360" w:lineRule="auto"/>
        <w:ind w:left="720"/>
        <w:jc w:val="both"/>
        <w:rPr>
          <w:rFonts w:ascii="David" w:hAnsi="David"/>
          <w:b/>
          <w:bCs/>
          <w:sz w:val="28"/>
          <w:szCs w:val="28"/>
          <w:u w:val="single"/>
          <w:rtl/>
        </w:rPr>
      </w:pPr>
    </w:p>
    <w:p w:rsidR="001417C6" w:rsidRPr="00E10C9D" w:rsidRDefault="001417C6" w:rsidP="001417C6">
      <w:pPr>
        <w:spacing w:line="360" w:lineRule="auto"/>
        <w:ind w:left="84" w:firstLine="636"/>
        <w:jc w:val="both"/>
        <w:rPr>
          <w:rFonts w:ascii="David" w:hAnsi="David"/>
          <w:b/>
          <w:bCs/>
          <w:sz w:val="26"/>
          <w:szCs w:val="26"/>
          <w:u w:val="thick"/>
          <w:rtl/>
        </w:rPr>
      </w:pPr>
      <w:r w:rsidRPr="00E10C9D">
        <w:rPr>
          <w:rFonts w:ascii="David" w:hAnsi="David"/>
          <w:b/>
          <w:bCs/>
          <w:sz w:val="26"/>
          <w:szCs w:val="26"/>
          <w:u w:val="thick"/>
          <w:rtl/>
        </w:rPr>
        <w:t>התביעה</w:t>
      </w:r>
      <w:r w:rsidRPr="00E10C9D">
        <w:rPr>
          <w:rFonts w:ascii="David" w:hAnsi="David"/>
          <w:b/>
          <w:bCs/>
          <w:sz w:val="26"/>
          <w:szCs w:val="26"/>
          <w:rtl/>
        </w:rPr>
        <w:t>:</w:t>
      </w:r>
    </w:p>
    <w:p w:rsidR="001417C6" w:rsidRPr="00E10C9D" w:rsidRDefault="001417C6" w:rsidP="001417C6">
      <w:pPr>
        <w:spacing w:line="360" w:lineRule="auto"/>
        <w:ind w:left="84" w:firstLine="636"/>
        <w:jc w:val="both"/>
        <w:rPr>
          <w:rFonts w:ascii="David" w:hAnsi="David"/>
          <w:b/>
          <w:bCs/>
          <w:sz w:val="26"/>
          <w:szCs w:val="26"/>
          <w:u w:val="thick"/>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2.</w:t>
      </w:r>
      <w:r w:rsidRPr="00E10C9D">
        <w:rPr>
          <w:rFonts w:ascii="David" w:hAnsi="David"/>
          <w:rtl/>
        </w:rPr>
        <w:tab/>
        <w:t xml:space="preserve">בתביעה זו תבע  בן הזוג -מ. את בת הזוג -א. והחָברה (חברתה של א.)  </w:t>
      </w:r>
    </w:p>
    <w:p w:rsidR="001417C6" w:rsidRPr="00E10C9D" w:rsidRDefault="001417C6" w:rsidP="001417C6">
      <w:pPr>
        <w:ind w:left="720" w:hanging="720"/>
        <w:rPr>
          <w:rFonts w:ascii="David" w:hAnsi="David"/>
          <w:rtl/>
        </w:rPr>
      </w:pPr>
    </w:p>
    <w:p w:rsidR="001417C6" w:rsidRPr="00E10C9D" w:rsidRDefault="001417C6" w:rsidP="001417C6">
      <w:pPr>
        <w:spacing w:line="360" w:lineRule="auto"/>
        <w:ind w:firstLine="720"/>
        <w:jc w:val="both"/>
        <w:rPr>
          <w:rFonts w:ascii="David" w:hAnsi="David"/>
          <w:b/>
          <w:bCs/>
          <w:rtl/>
        </w:rPr>
      </w:pPr>
      <w:r w:rsidRPr="00E10C9D">
        <w:rPr>
          <w:rFonts w:ascii="David" w:hAnsi="David"/>
          <w:b/>
          <w:bCs/>
          <w:u w:val="single"/>
          <w:rtl/>
        </w:rPr>
        <w:t>עיקר טענות התובע (מ.)</w:t>
      </w:r>
      <w:r w:rsidRPr="00E10C9D">
        <w:rPr>
          <w:rFonts w:ascii="David" w:hAnsi="David"/>
          <w:b/>
          <w:bCs/>
          <w:rtl/>
        </w:rPr>
        <w:t>:</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3.</w:t>
      </w:r>
      <w:r w:rsidRPr="00E10C9D">
        <w:rPr>
          <w:rFonts w:ascii="David" w:hAnsi="David"/>
          <w:rtl/>
        </w:rPr>
        <w:tab/>
        <w:t>הנתבעות רקמו מזימה לפגוע בו לבזותו ברבים במטרה לתרגם את הפגיעה להישג בניהול ההליכים המתקיימים בינו לבין רעייתו (אז)  א. בבית הדין הרבני.</w:t>
      </w:r>
    </w:p>
    <w:p w:rsidR="001417C6" w:rsidRPr="00E10C9D" w:rsidRDefault="001417C6" w:rsidP="001417C6">
      <w:pPr>
        <w:ind w:left="720" w:hanging="720"/>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תלונותיה של א. במשטרה נסגרו מנימוקים שונים. מ. טען שתלונותיה של  א.  במשטרה "...</w:t>
      </w:r>
      <w:r w:rsidRPr="00E10C9D">
        <w:rPr>
          <w:rFonts w:ascii="David" w:hAnsi="David"/>
          <w:b/>
          <w:bCs/>
          <w:rtl/>
        </w:rPr>
        <w:t>בסיוע נתבעת 2</w:t>
      </w:r>
      <w:r w:rsidRPr="00E10C9D">
        <w:rPr>
          <w:rFonts w:ascii="David" w:hAnsi="David"/>
          <w:rtl/>
        </w:rPr>
        <w:t>" הן שקריות. א. וחברתה, הנתבעת 2, הגישו תלונות שווא במשטרה ומשעה שעשו כך הרי שהן "...</w:t>
      </w:r>
      <w:r w:rsidRPr="00E10C9D">
        <w:rPr>
          <w:rFonts w:ascii="David" w:hAnsi="David"/>
          <w:b/>
          <w:bCs/>
          <w:rtl/>
        </w:rPr>
        <w:t xml:space="preserve">נהגו  ברשלנות כלפי התובע. </w:t>
      </w:r>
      <w:r w:rsidRPr="00E10C9D">
        <w:rPr>
          <w:rFonts w:ascii="David" w:hAnsi="David"/>
          <w:rtl/>
        </w:rPr>
        <w:t xml:space="preserve">... </w:t>
      </w:r>
      <w:r w:rsidRPr="00E10C9D">
        <w:rPr>
          <w:rFonts w:ascii="David" w:hAnsi="David"/>
          <w:b/>
          <w:bCs/>
          <w:rtl/>
        </w:rPr>
        <w:t>פעולתן גרמה להוצאת דיבתו רעה של תובע ונזקים לשמו הטוב</w:t>
      </w:r>
      <w:r w:rsidRPr="00E10C9D">
        <w:rPr>
          <w:rFonts w:ascii="David" w:hAnsi="David"/>
          <w:rtl/>
        </w:rPr>
        <w:t xml:space="preserve">".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 xml:space="preserve">בעקבות תלונתו על אירוע אלימות של א. כלפיו בשעה שהיא וחברתה, הנתבעת 2, הגיעו לפתח ביתו על מנת לקחת את ילדיהם המשותפים "... </w:t>
      </w:r>
      <w:r w:rsidRPr="00E10C9D">
        <w:rPr>
          <w:rFonts w:ascii="David" w:hAnsi="David"/>
          <w:b/>
          <w:bCs/>
          <w:rtl/>
        </w:rPr>
        <w:t>להפתעתו מצא את עצמו נחקר באזהרה על תקיפת חברתו של אשתו, נתבעת מס' 2</w:t>
      </w:r>
      <w:r w:rsidRPr="00E10C9D">
        <w:rPr>
          <w:rFonts w:ascii="David" w:hAnsi="David"/>
          <w:rtl/>
        </w:rPr>
        <w:t xml:space="preserve">".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הוגש כנגדו כתב אישום (</w:t>
      </w:r>
      <w:r w:rsidRPr="00E10C9D">
        <w:rPr>
          <w:rFonts w:ascii="David" w:hAnsi="David"/>
          <w:u w:val="single"/>
          <w:rtl/>
        </w:rPr>
        <w:t xml:space="preserve">ת.פ.(אילת) 27651-11-19 </w:t>
      </w:r>
      <w:r w:rsidRPr="00E10C9D">
        <w:rPr>
          <w:rFonts w:ascii="David" w:hAnsi="David"/>
          <w:rtl/>
        </w:rPr>
        <w:t xml:space="preserve"> בפני כב' השופט שי ברגר).  גרסתן של הנתבעות לא נתמכו בראיות ולכן הודיעה המאשימה בדיון ש "...</w:t>
      </w:r>
      <w:r w:rsidRPr="00E10C9D">
        <w:rPr>
          <w:rFonts w:ascii="David" w:hAnsi="David"/>
          <w:b/>
          <w:bCs/>
          <w:rtl/>
        </w:rPr>
        <w:t>ובהמלצת בית המשפט ולאחר ששקלנו את הראיות פעם נוספת, לאור הראיות והעדויות אנו נבקש לחזור מהאישום</w:t>
      </w:r>
      <w:r w:rsidRPr="00E10C9D">
        <w:rPr>
          <w:rFonts w:ascii="David" w:hAnsi="David"/>
          <w:rtl/>
        </w:rPr>
        <w:t xml:space="preserve">".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א. לא בוחלת בשקרים גם לצורך הוצאת צווי הגנה ובאמצעות שקרים אלו "...</w:t>
      </w:r>
      <w:r w:rsidRPr="00E10C9D">
        <w:rPr>
          <w:rFonts w:ascii="David" w:hAnsi="David"/>
          <w:b/>
          <w:bCs/>
          <w:rtl/>
        </w:rPr>
        <w:t>משיגה את מטרתה ומקבלת צו הרחקה כנגד התובע</w:t>
      </w:r>
      <w:r w:rsidRPr="00E10C9D">
        <w:rPr>
          <w:rFonts w:ascii="David" w:hAnsi="David"/>
          <w:rtl/>
        </w:rPr>
        <w:t>".</w:t>
      </w:r>
    </w:p>
    <w:p w:rsidR="001417C6" w:rsidRPr="00E10C9D" w:rsidRDefault="001417C6" w:rsidP="001417C6">
      <w:pPr>
        <w:spacing w:line="360" w:lineRule="auto"/>
        <w:ind w:left="720" w:hanging="720"/>
        <w:jc w:val="both"/>
        <w:rPr>
          <w:rFonts w:ascii="David" w:hAnsi="David"/>
          <w:rtl/>
        </w:rPr>
      </w:pPr>
      <w:r w:rsidRPr="00E10C9D">
        <w:rPr>
          <w:rFonts w:ascii="David" w:hAnsi="David"/>
          <w:rtl/>
        </w:rPr>
        <w:tab/>
        <w:t>"</w:t>
      </w:r>
      <w:r w:rsidRPr="00E10C9D">
        <w:rPr>
          <w:rFonts w:ascii="David" w:hAnsi="David"/>
          <w:b/>
          <w:bCs/>
          <w:rtl/>
        </w:rPr>
        <w:t>הנה כי כן, נתבעת 1, באופן שיטתי ועקבי, תוך כדי הגשת תלונות שווא במשטרה יוצרת לתובע חזות של אדם אלים ותוקפני</w:t>
      </w:r>
      <w:r w:rsidRPr="00E10C9D">
        <w:rPr>
          <w:rFonts w:ascii="David" w:hAnsi="David"/>
          <w:rtl/>
        </w:rPr>
        <w:t>".</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דבר הגשת כתב האישום התפשט "...</w:t>
      </w:r>
      <w:r w:rsidRPr="00E10C9D">
        <w:rPr>
          <w:rFonts w:ascii="David" w:hAnsi="David"/>
          <w:b/>
          <w:bCs/>
          <w:rtl/>
        </w:rPr>
        <w:t xml:space="preserve">כאש בשדה קוצים בקרב מכריו של התובע שאף אליהם הגיע בדרך לא דרך המידע </w:t>
      </w:r>
      <w:r w:rsidRPr="00E10C9D">
        <w:rPr>
          <w:rFonts w:ascii="David" w:hAnsi="David"/>
          <w:rtl/>
        </w:rPr>
        <w:t>...</w:t>
      </w:r>
      <w:r w:rsidRPr="00E10C9D">
        <w:rPr>
          <w:rFonts w:ascii="David" w:hAnsi="David"/>
          <w:b/>
          <w:bCs/>
          <w:rtl/>
        </w:rPr>
        <w:t>התובע מצא עצמו מובך ומושפל נאלץ להסביר כי לא היו דברים מעולם</w:t>
      </w:r>
      <w:r w:rsidRPr="00E10C9D">
        <w:rPr>
          <w:rFonts w:ascii="David" w:hAnsi="David"/>
          <w:rtl/>
        </w:rPr>
        <w:t>".</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בשל הגשת כתב האישום הוא לא יכול היה להגיש מועמדות לעבודה שיש בה צורך לשאת נשק. "</w:t>
      </w:r>
      <w:r w:rsidRPr="00E10C9D">
        <w:rPr>
          <w:rFonts w:ascii="David" w:hAnsi="David"/>
          <w:b/>
          <w:bCs/>
          <w:rtl/>
        </w:rPr>
        <w:t>אין צורך לתאר את המבוכה שחש התובע או שיחוש בהמשך בבואו להגיש מועמדות למקום עבודה והוא ישאל: האם הוגשו או ישנם אישומים פליליים נגדו?</w:t>
      </w:r>
      <w:r w:rsidRPr="00E10C9D">
        <w:rPr>
          <w:rFonts w:ascii="David" w:hAnsi="David"/>
          <w:rtl/>
        </w:rPr>
        <w:t xml:space="preserve"> ... </w:t>
      </w:r>
      <w:r w:rsidRPr="00E10C9D">
        <w:rPr>
          <w:rFonts w:ascii="David" w:hAnsi="David"/>
          <w:b/>
          <w:bCs/>
          <w:rtl/>
        </w:rPr>
        <w:t>הרי ברי לכל כי התובע יאלץ לספר שהוגש נגדו אישום פלילי על תקיפה, שבעצם לא  הייתה ולא נבראה מעולם!</w:t>
      </w:r>
      <w:r w:rsidRPr="00E10C9D">
        <w:rPr>
          <w:rFonts w:ascii="David" w:hAnsi="David"/>
          <w:rtl/>
        </w:rPr>
        <w:t xml:space="preserve">"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בכתב התביעה טען מ. "...</w:t>
      </w:r>
      <w:r w:rsidRPr="00E10C9D">
        <w:rPr>
          <w:rFonts w:ascii="David" w:hAnsi="David"/>
          <w:b/>
          <w:bCs/>
          <w:rtl/>
        </w:rPr>
        <w:t>שהתנהלה בין אביו המבוגר של התובע שאינו בקו הבריאות</w:t>
      </w:r>
      <w:r w:rsidRPr="00E10C9D">
        <w:rPr>
          <w:rFonts w:ascii="David" w:hAnsi="David"/>
          <w:rtl/>
        </w:rPr>
        <w:t>..." שיחת  טלפון  עם ידיד של א. וזה הטיח באזני אביו כי "...</w:t>
      </w:r>
      <w:r w:rsidRPr="00E10C9D">
        <w:rPr>
          <w:rFonts w:ascii="David" w:hAnsi="David"/>
          <w:b/>
          <w:bCs/>
          <w:rtl/>
        </w:rPr>
        <w:t>הבן שלך שהוא האבא שלהם נותן להם מכות אצלם במשטרה יש תיק כזה עליו</w:t>
      </w:r>
      <w:r w:rsidRPr="00E10C9D">
        <w:rPr>
          <w:rFonts w:ascii="David" w:hAnsi="David"/>
          <w:rtl/>
        </w:rPr>
        <w:t>" אביו חווה עוגמת נפש כששמע בדברי הגנות שהועלו על  ידי הידיד של א.. נטען שאותו ידיד מר ח. "</w:t>
      </w:r>
      <w:r w:rsidRPr="00E10C9D">
        <w:rPr>
          <w:rFonts w:ascii="David" w:hAnsi="David"/>
          <w:b/>
          <w:bCs/>
          <w:rtl/>
        </w:rPr>
        <w:t>הטיח בשיחות נוספות הן בטלפון והן "פנים אל פנים" בפני התובע ובפני אביו את עניין "כתב האישום" בגין התקיפה לכאורה, שהוגש כנגד התובע</w:t>
      </w:r>
      <w:r w:rsidRPr="00E10C9D">
        <w:rPr>
          <w:rFonts w:ascii="David" w:hAnsi="David"/>
          <w:rtl/>
        </w:rPr>
        <w:t xml:space="preserve">"  (לכתב התביעה צורף תמלול השיחה – נספח 14).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jc w:val="both"/>
        <w:rPr>
          <w:rFonts w:ascii="David" w:hAnsi="David"/>
          <w:b/>
          <w:bCs/>
          <w:rtl/>
        </w:rPr>
      </w:pPr>
      <w:r w:rsidRPr="00E10C9D">
        <w:rPr>
          <w:rFonts w:ascii="David" w:hAnsi="David"/>
          <w:b/>
          <w:bCs/>
          <w:u w:val="single"/>
          <w:rtl/>
        </w:rPr>
        <w:t>עיקר טענות הנתבעות (א. והחָברה, נתבעת 2)</w:t>
      </w:r>
      <w:r w:rsidRPr="00E10C9D">
        <w:rPr>
          <w:rFonts w:ascii="David" w:hAnsi="David"/>
          <w:b/>
          <w:bCs/>
          <w:rtl/>
        </w:rPr>
        <w:t>:</w:t>
      </w:r>
    </w:p>
    <w:p w:rsidR="001417C6" w:rsidRPr="00E10C9D" w:rsidRDefault="001417C6" w:rsidP="001417C6">
      <w:pPr>
        <w:spacing w:line="360" w:lineRule="auto"/>
        <w:ind w:left="720"/>
        <w:jc w:val="both"/>
        <w:rPr>
          <w:rFonts w:ascii="David" w:hAnsi="David"/>
          <w:b/>
          <w:bCs/>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4.</w:t>
      </w:r>
      <w:r w:rsidRPr="00E10C9D">
        <w:rPr>
          <w:rFonts w:ascii="David" w:hAnsi="David"/>
          <w:rtl/>
        </w:rPr>
        <w:tab/>
        <w:t>הנתבעות עתרו לדחיית התביעה שכן כל שעשו היה "...</w:t>
      </w:r>
      <w:r w:rsidRPr="00E10C9D">
        <w:rPr>
          <w:rFonts w:ascii="David" w:hAnsi="David"/>
          <w:b/>
          <w:bCs/>
          <w:rtl/>
        </w:rPr>
        <w:t>להעיד במשטרת ישראל ולספר אודות האלימות שחוו מצידו של התובע, אשר ללא רסן השתלח באופן מילולי ובאופן פיזי כלפי הנתבעות בידיעה מוחלטת. כאשר התובע עצמו הגיש את התלונה במשטרה</w:t>
      </w:r>
      <w:r w:rsidRPr="00E10C9D">
        <w:rPr>
          <w:rFonts w:ascii="David" w:hAnsi="David"/>
          <w:rtl/>
        </w:rPr>
        <w:t xml:space="preserve">."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טענתו העיקרית היא שבשל "...</w:t>
      </w:r>
      <w:r w:rsidRPr="00E10C9D">
        <w:rPr>
          <w:rFonts w:ascii="David" w:hAnsi="David"/>
          <w:b/>
          <w:bCs/>
          <w:rtl/>
        </w:rPr>
        <w:t>עדותן השקרית של הנתבעות הגישו כנגדו כתב אישום</w:t>
      </w:r>
      <w:r w:rsidRPr="00E10C9D">
        <w:rPr>
          <w:rFonts w:ascii="David" w:hAnsi="David"/>
          <w:rtl/>
        </w:rPr>
        <w:t>" מדובר "...</w:t>
      </w:r>
      <w:r w:rsidRPr="00E10C9D">
        <w:rPr>
          <w:rFonts w:ascii="David" w:hAnsi="David"/>
          <w:b/>
          <w:bCs/>
          <w:rtl/>
        </w:rPr>
        <w:t>בתביעת השתקה אשר מוסוות לתביעת לשון הרע</w:t>
      </w:r>
      <w:r w:rsidRPr="00E10C9D">
        <w:rPr>
          <w:rFonts w:ascii="David" w:hAnsi="David"/>
          <w:rtl/>
        </w:rPr>
        <w:t xml:space="preserve">... </w:t>
      </w:r>
      <w:r w:rsidRPr="00E10C9D">
        <w:rPr>
          <w:rFonts w:ascii="David" w:hAnsi="David"/>
          <w:b/>
          <w:bCs/>
          <w:rtl/>
        </w:rPr>
        <w:t>רצונו של התובע להכשיר</w:t>
      </w:r>
      <w:r w:rsidRPr="00E10C9D">
        <w:rPr>
          <w:rFonts w:ascii="David" w:hAnsi="David"/>
          <w:rtl/>
        </w:rPr>
        <w:t xml:space="preserve"> </w:t>
      </w:r>
      <w:r w:rsidRPr="00E10C9D">
        <w:rPr>
          <w:rFonts w:ascii="David" w:hAnsi="David"/>
          <w:b/>
          <w:bCs/>
          <w:rtl/>
        </w:rPr>
        <w:t>את התנהגותו האלימה, והכפייתית כנגד הנתבעת מס' 1, ומנסה להראות כי אם תאזור אומץ ותתלונן בגין התנהגויות שכאלו מצד התובע- תיאלץ להתמודד עם תביעה משפטית ודרישה לפיצוי ניכר</w:t>
      </w:r>
      <w:r w:rsidRPr="00E10C9D">
        <w:rPr>
          <w:rFonts w:ascii="David" w:hAnsi="David"/>
          <w:rtl/>
        </w:rPr>
        <w:t>"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 xml:space="preserve">לנתבעות עומדת ההגנה הקבועה בסעיפים 14 ו- 15 לחוק איסור לשון הרע. </w:t>
      </w:r>
    </w:p>
    <w:p w:rsidR="001417C6" w:rsidRPr="00E10C9D" w:rsidRDefault="001417C6" w:rsidP="001417C6">
      <w:pPr>
        <w:spacing w:line="360" w:lineRule="auto"/>
        <w:ind w:left="720" w:hanging="720"/>
        <w:jc w:val="both"/>
        <w:rPr>
          <w:rFonts w:ascii="David" w:hAnsi="David"/>
          <w:rtl/>
        </w:rPr>
      </w:pPr>
      <w:r w:rsidRPr="00E10C9D">
        <w:rPr>
          <w:rFonts w:ascii="David" w:hAnsi="David"/>
          <w:rtl/>
        </w:rPr>
        <w:tab/>
        <w:t>"...</w:t>
      </w:r>
      <w:r w:rsidRPr="00E10C9D">
        <w:rPr>
          <w:rFonts w:ascii="David" w:hAnsi="David"/>
          <w:b/>
          <w:bCs/>
          <w:rtl/>
        </w:rPr>
        <w:t>בשנים האחרונות</w:t>
      </w:r>
      <w:r w:rsidRPr="00E10C9D">
        <w:rPr>
          <w:rFonts w:ascii="David" w:hAnsi="David"/>
          <w:rtl/>
        </w:rPr>
        <w:t xml:space="preserve"> ...[אנו עדים ל] </w:t>
      </w:r>
      <w:r w:rsidRPr="00E10C9D">
        <w:rPr>
          <w:rFonts w:ascii="David" w:hAnsi="David"/>
          <w:b/>
          <w:bCs/>
          <w:rtl/>
        </w:rPr>
        <w:t>חדשות מחרידות אודות נשים העוברות אלימות פיזית, מינית, כלכלית ונפשית מצד בני זוגן ואף לעיתים מוצאות את מותן עקב אלימות חוזרת ונישנת  של בני זוגן כלפיהן, וזאת למרות שמשטרת ישראל, גורמי אכיפת החוק והרווחה היו מודעים לאלימות"</w:t>
      </w:r>
      <w:r w:rsidRPr="00E10C9D">
        <w:rPr>
          <w:rFonts w:ascii="David" w:hAnsi="David"/>
          <w:rtl/>
        </w:rPr>
        <w:t xml:space="preserve">. </w:t>
      </w:r>
    </w:p>
    <w:p w:rsidR="001417C6" w:rsidRPr="00E10C9D" w:rsidRDefault="001417C6" w:rsidP="001417C6">
      <w:pPr>
        <w:spacing w:line="360" w:lineRule="auto"/>
        <w:ind w:left="720" w:hanging="720"/>
        <w:jc w:val="both"/>
        <w:rPr>
          <w:rFonts w:ascii="David" w:hAnsi="David"/>
          <w:rtl/>
        </w:rPr>
      </w:pPr>
      <w:r w:rsidRPr="00E10C9D">
        <w:rPr>
          <w:rFonts w:ascii="David" w:hAnsi="David"/>
          <w:rtl/>
        </w:rPr>
        <w:t xml:space="preserve"> </w:t>
      </w: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מטרת הגשת התביעה היא בעצם הגשתה ולא לצורך הדיון בה.</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lastRenderedPageBreak/>
        <w:tab/>
        <w:t>החזרה מכתב האישום על ידי המאשימה לא נעשתה משום ש"</w:t>
      </w:r>
      <w:r w:rsidRPr="00E10C9D">
        <w:rPr>
          <w:rFonts w:ascii="David" w:hAnsi="David"/>
          <w:b/>
          <w:bCs/>
          <w:rtl/>
        </w:rPr>
        <w:t>הנתבעות העידו עדות שקר</w:t>
      </w:r>
      <w:r w:rsidRPr="00E10C9D">
        <w:rPr>
          <w:rFonts w:ascii="David" w:hAnsi="David"/>
          <w:rtl/>
        </w:rPr>
        <w:t>,...</w:t>
      </w:r>
      <w:r w:rsidRPr="00E10C9D">
        <w:rPr>
          <w:rFonts w:ascii="David" w:hAnsi="David"/>
          <w:b/>
          <w:bCs/>
          <w:rtl/>
        </w:rPr>
        <w:t>כתב האישום בוטל מפאת חוסר בראיות, ולא משום שלא התקיימה אלימות</w:t>
      </w:r>
      <w:r w:rsidRPr="00E10C9D">
        <w:rPr>
          <w:rFonts w:ascii="David" w:hAnsi="David"/>
          <w:rtl/>
        </w:rPr>
        <w:t>" .</w:t>
      </w:r>
    </w:p>
    <w:p w:rsidR="001417C6" w:rsidRPr="00E10C9D" w:rsidRDefault="001417C6" w:rsidP="001417C6">
      <w:pPr>
        <w:spacing w:line="360" w:lineRule="auto"/>
        <w:ind w:left="720" w:hanging="720"/>
        <w:jc w:val="both"/>
        <w:rPr>
          <w:rFonts w:ascii="David" w:hAnsi="David"/>
          <w:b/>
          <w:bCs/>
          <w:rtl/>
        </w:rPr>
      </w:pPr>
      <w:r w:rsidRPr="00E10C9D">
        <w:rPr>
          <w:rFonts w:ascii="David" w:hAnsi="David"/>
          <w:rtl/>
        </w:rPr>
        <w:tab/>
      </w:r>
    </w:p>
    <w:p w:rsidR="001417C6" w:rsidRPr="00E10C9D" w:rsidRDefault="001417C6" w:rsidP="001417C6">
      <w:pPr>
        <w:spacing w:line="360" w:lineRule="auto"/>
        <w:ind w:left="720"/>
        <w:jc w:val="both"/>
        <w:rPr>
          <w:rFonts w:ascii="David" w:hAnsi="David"/>
          <w:rtl/>
        </w:rPr>
      </w:pPr>
      <w:r w:rsidRPr="00E10C9D">
        <w:rPr>
          <w:rFonts w:ascii="David" w:hAnsi="David"/>
          <w:b/>
          <w:bCs/>
          <w:rtl/>
        </w:rPr>
        <w:t>בקשה לסילוק על הסף</w:t>
      </w:r>
      <w:r w:rsidRPr="00E10C9D">
        <w:rPr>
          <w:rFonts w:ascii="David" w:hAnsi="David"/>
          <w:rtl/>
        </w:rPr>
        <w:t>:</w:t>
      </w:r>
      <w:r w:rsidRPr="00E10C9D">
        <w:rPr>
          <w:rFonts w:ascii="David" w:hAnsi="David"/>
          <w:rtl/>
        </w:rPr>
        <w:tab/>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5.</w:t>
      </w:r>
      <w:r w:rsidRPr="00E10C9D">
        <w:rPr>
          <w:rFonts w:ascii="David" w:hAnsi="David"/>
          <w:rtl/>
        </w:rPr>
        <w:tab/>
        <w:t xml:space="preserve">לתיק הוגשה על ידי הנתבעות בקשה לסילוק התביעה על הסף. בין טיעוניהן  טענו  שמדובר בשימוש לרעה בהליכי בית משפט, היעדר עילה והיות התביעה  טורדנית וקנטרנית. לביסוס בקשתן שבו על טיעוניהן בכתב ההגנה ולא מצאתי לשוב ולהביא הדברים.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בתשובתו טען המשיב בבקשה (מ.) שיש לדחות הבקשה משום שהיא אינה עומדת בקריטריונים שנקבעו בתקנות ובפסיקה. כך, למשל, הפנה לתקנה 49 לתקנות סדר הדין האזרחי הדנה ב"בקשות" וכן לתקנה 14(א) לתקנות בית משפט לענייני משפחה (סדרי דין) תשפ"א-2020 הדנה בכתבי טענות נוספים. בשים לב לכך, ומשעה ש"</w:t>
      </w:r>
      <w:r w:rsidRPr="00E10C9D">
        <w:rPr>
          <w:rFonts w:ascii="David" w:hAnsi="David"/>
          <w:b/>
          <w:bCs/>
          <w:rtl/>
        </w:rPr>
        <w:t>בית המשפט לא נתן רשות להעלאתה – לפיכך דין הבקשה לסילוק על הסף להידחות</w:t>
      </w:r>
      <w:r w:rsidRPr="00E10C9D">
        <w:rPr>
          <w:rFonts w:ascii="David" w:hAnsi="David"/>
          <w:rtl/>
        </w:rPr>
        <w:t>". עוד נטען שהבקשה אינה מנויה בבקשות המפורטות בתקנה 49 וכאמור גם מטעם זה דינה להימחק.</w:t>
      </w:r>
      <w:r w:rsidRPr="00E10C9D">
        <w:rPr>
          <w:rFonts w:ascii="David" w:hAnsi="David"/>
          <w:rtl/>
        </w:rPr>
        <w:tab/>
        <w:t xml:space="preserve"> </w:t>
      </w:r>
    </w:p>
    <w:p w:rsidR="001417C6" w:rsidRPr="00E10C9D" w:rsidRDefault="001417C6" w:rsidP="001417C6">
      <w:pPr>
        <w:spacing w:line="360" w:lineRule="auto"/>
        <w:ind w:left="720" w:hanging="720"/>
        <w:jc w:val="both"/>
        <w:rPr>
          <w:rFonts w:ascii="David" w:hAnsi="David"/>
          <w:rtl/>
        </w:rPr>
      </w:pPr>
      <w:r w:rsidRPr="00E10C9D">
        <w:rPr>
          <w:rFonts w:ascii="David" w:hAnsi="David"/>
          <w:rtl/>
        </w:rPr>
        <w:t xml:space="preserve"> </w:t>
      </w:r>
    </w:p>
    <w:p w:rsidR="001417C6" w:rsidRPr="00E10C9D" w:rsidRDefault="001417C6" w:rsidP="001417C6">
      <w:pPr>
        <w:spacing w:line="360" w:lineRule="auto"/>
        <w:ind w:left="720" w:hanging="720"/>
        <w:jc w:val="both"/>
        <w:rPr>
          <w:rFonts w:ascii="David" w:hAnsi="David"/>
          <w:rtl/>
        </w:rPr>
      </w:pPr>
      <w:r w:rsidRPr="00E10C9D">
        <w:rPr>
          <w:rFonts w:ascii="David" w:hAnsi="David"/>
          <w:rtl/>
        </w:rPr>
        <w:tab/>
        <w:t xml:space="preserve">מבלי להקדים המאוחר יאמר שטענה זו של המשיב הנסמכת על תקנות סדר הדין האזרחי מוחקת למעשה את הליך סילוק על הסף מהתקנות. מ. מופנה לתקנות 42-41 לתקנות סדר הדין האזרחי תשע"ט-2018 (ראו לעניין זה </w:t>
      </w:r>
      <w:r w:rsidRPr="00E10C9D">
        <w:rPr>
          <w:rFonts w:ascii="David" w:hAnsi="David"/>
          <w:u w:val="single"/>
          <w:rtl/>
        </w:rPr>
        <w:t xml:space="preserve">ע"א 2109/21 </w:t>
      </w:r>
      <w:r w:rsidRPr="00E10C9D">
        <w:rPr>
          <w:rFonts w:ascii="David" w:hAnsi="David"/>
          <w:b/>
          <w:bCs/>
          <w:rtl/>
        </w:rPr>
        <w:t xml:space="preserve">בנימין אלמן נ' עינב יזום מוהליבר ואח' </w:t>
      </w:r>
      <w:r w:rsidRPr="00E10C9D">
        <w:rPr>
          <w:rFonts w:ascii="David" w:hAnsi="David"/>
          <w:rtl/>
        </w:rPr>
        <w:t>(30/6/21)).</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 xml:space="preserve">לעניין הצורך בקבלת אישור ההגשה של הבקשה מופנה מ לדיון שהתקיים ביום 13/6/2021 שהכשיר דה פקטו ובדיעבד את הבקשה. יתרה מכך, מופנה מ. להחלטה מיום 18/7/2021. </w:t>
      </w: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כך, ביום 9/11/22 בהמשך להחלטה בעניין  טען בא כוחן של המבקשות שבשים לב לכך שהוגשו סיכומים בתביעות הן "...</w:t>
      </w:r>
      <w:r w:rsidRPr="00E10C9D">
        <w:rPr>
          <w:rFonts w:ascii="David" w:hAnsi="David"/>
          <w:b/>
          <w:bCs/>
          <w:rtl/>
        </w:rPr>
        <w:t>אינן עומדות על מתן החלטות בבקשות מקדמיות שהוגשו וטרם ניתנה החלטה</w:t>
      </w:r>
      <w:r w:rsidRPr="00E10C9D">
        <w:rPr>
          <w:rFonts w:ascii="David" w:hAnsi="David"/>
          <w:rtl/>
        </w:rPr>
        <w:t xml:space="preserve"> ...".</w:t>
      </w:r>
    </w:p>
    <w:p w:rsidR="00E10C9D" w:rsidRPr="00E10C9D" w:rsidRDefault="00E10C9D"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בין לבין הגיש התובע בקשה בדיעבד לצירופה להליך של הנתבעת 2, חברתה של א. כנתבעת בתיק (יוזכר שכתב התביעה הוגש כנגד נתבעת 2, החָברה, ללא הגשת בקשה לבית  המשפט בעניין זה) . הבקשה הוגשה בהמשך להערות שעלו בדיון ביום 13/6/2021. בבקשתו טען מ. שצירופה של החָברה נדרש  משום "...</w:t>
      </w:r>
      <w:r w:rsidRPr="00E10C9D">
        <w:rPr>
          <w:rFonts w:ascii="David" w:hAnsi="David"/>
          <w:b/>
          <w:bCs/>
          <w:rtl/>
        </w:rPr>
        <w:t>שצירופה יביא לבירור מלא של התובענה ולהכרעה בסכסוך באופן יעיל יותר  תוך חיסכון במשאבים שיפוטיים יקרים- וישמור על פרטיותם של הקטינים המעורבים ויגן על האינטרסים שלהם. כאמור משיבה 2, הינה עדת תביעה מרכזית מטעם התובעת בתביעה שכנגד, בתיק הקיים המתנהל בפני בית משפט נכבד זה</w:t>
      </w:r>
      <w:r w:rsidRPr="00E10C9D">
        <w:rPr>
          <w:rFonts w:ascii="David" w:hAnsi="David"/>
          <w:rtl/>
        </w:rPr>
        <w:t>". החלטה מפורשת על צירופה של נתבעת 2 לא ניתנה בשים לב להודעה המובאת לעיל.  יחד עם זאת בהיותה עדה בתביעה השנייה העידה החָברה ועמדה לחקירה נגדית של מ. בכל התביעות</w:t>
      </w:r>
    </w:p>
    <w:p w:rsidR="001417C6" w:rsidRPr="00E10C9D" w:rsidRDefault="001417C6" w:rsidP="001417C6">
      <w:pPr>
        <w:spacing w:line="360" w:lineRule="auto"/>
        <w:ind w:left="720" w:hanging="720"/>
        <w:jc w:val="both"/>
        <w:rPr>
          <w:rFonts w:ascii="David" w:hAnsi="David"/>
          <w:rtl/>
        </w:rPr>
      </w:pPr>
      <w:r w:rsidRPr="00E10C9D">
        <w:rPr>
          <w:rFonts w:ascii="David" w:hAnsi="David"/>
          <w:rtl/>
        </w:rPr>
        <w:tab/>
        <w:t xml:space="preserve">אין ספק שאי צירופה של החָברה בהחלטה מפורשת מהווה כשל בהחלטה השיפוטית יחד עם זאת משעה שממילא העידה בדיון ההוכחות (זומנה כעדה מטעם א. בתביעה השנייה) </w:t>
      </w:r>
      <w:r w:rsidRPr="00E10C9D">
        <w:rPr>
          <w:rFonts w:ascii="David" w:hAnsi="David"/>
          <w:rtl/>
        </w:rPr>
        <w:lastRenderedPageBreak/>
        <w:t xml:space="preserve">רופא המחדל. למעלה מהצורך יאמר שמ. ביקש, לצרף את הנתבעת 2  באחור ניכר ולאור הערת בית המשפט בדיון קדם משפט. בשים לב לכך היה ראוי שהיה מתזכר זאת עובר לדיון שנקבע לשמיעת הוכחות.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 xml:space="preserve">מבלי לגרוע באמור, בקשה לסילוק על הסף יכול שתידון בכל עת אך דרך המלך שהדיון  יתנהל כסדרו תשמענה הראיות בהליך ממצה ( </w:t>
      </w:r>
      <w:r w:rsidRPr="00E10C9D">
        <w:rPr>
          <w:rFonts w:ascii="David" w:hAnsi="David"/>
          <w:u w:val="single"/>
          <w:rtl/>
        </w:rPr>
        <w:t>עמ"ש (ב"ש) 3261-11-22</w:t>
      </w:r>
      <w:r w:rsidRPr="00E10C9D">
        <w:rPr>
          <w:rFonts w:ascii="David" w:hAnsi="David"/>
          <w:rtl/>
        </w:rPr>
        <w:t xml:space="preserve"> (15/1/2023)).</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jc w:val="both"/>
        <w:rPr>
          <w:rFonts w:ascii="David" w:hAnsi="David"/>
          <w:b/>
          <w:bCs/>
          <w:sz w:val="26"/>
          <w:szCs w:val="26"/>
          <w:rtl/>
        </w:rPr>
      </w:pPr>
      <w:r w:rsidRPr="00E10C9D">
        <w:rPr>
          <w:rFonts w:ascii="David" w:hAnsi="David"/>
          <w:b/>
          <w:bCs/>
          <w:sz w:val="26"/>
          <w:szCs w:val="26"/>
          <w:u w:val="thick"/>
          <w:rtl/>
        </w:rPr>
        <w:t>התביעה השנייה</w:t>
      </w:r>
      <w:r w:rsidRPr="00E10C9D">
        <w:rPr>
          <w:rFonts w:ascii="David" w:hAnsi="David"/>
          <w:b/>
          <w:bCs/>
          <w:sz w:val="26"/>
          <w:szCs w:val="26"/>
          <w:rtl/>
        </w:rPr>
        <w:t>:</w:t>
      </w:r>
    </w:p>
    <w:p w:rsidR="001417C6" w:rsidRPr="00E10C9D" w:rsidRDefault="001417C6" w:rsidP="001417C6">
      <w:pPr>
        <w:spacing w:line="360" w:lineRule="auto"/>
        <w:ind w:left="720"/>
        <w:jc w:val="both"/>
        <w:rPr>
          <w:rFonts w:ascii="David" w:hAnsi="David"/>
          <w:b/>
          <w:bCs/>
          <w:sz w:val="26"/>
          <w:szCs w:val="26"/>
          <w:rtl/>
        </w:rPr>
      </w:pPr>
    </w:p>
    <w:p w:rsidR="001417C6" w:rsidRPr="00E10C9D" w:rsidRDefault="001417C6" w:rsidP="001417C6">
      <w:pPr>
        <w:spacing w:line="360" w:lineRule="auto"/>
        <w:ind w:firstLine="720"/>
        <w:jc w:val="both"/>
        <w:rPr>
          <w:rFonts w:ascii="David" w:hAnsi="David"/>
          <w:b/>
          <w:bCs/>
          <w:rtl/>
        </w:rPr>
      </w:pPr>
      <w:r w:rsidRPr="00E10C9D">
        <w:rPr>
          <w:rFonts w:ascii="David" w:hAnsi="David"/>
          <w:b/>
          <w:bCs/>
          <w:u w:val="single"/>
          <w:rtl/>
        </w:rPr>
        <w:t>עיקר טענות התובע (מ.)</w:t>
      </w:r>
      <w:r w:rsidRPr="00E10C9D">
        <w:rPr>
          <w:rFonts w:ascii="David" w:hAnsi="David"/>
          <w:b/>
          <w:bCs/>
          <w:rtl/>
        </w:rPr>
        <w:t>:</w:t>
      </w:r>
    </w:p>
    <w:p w:rsidR="001417C6" w:rsidRPr="00E10C9D" w:rsidRDefault="001417C6" w:rsidP="001417C6">
      <w:pPr>
        <w:spacing w:line="360" w:lineRule="auto"/>
        <w:ind w:firstLine="720"/>
        <w:jc w:val="both"/>
        <w:rPr>
          <w:rFonts w:ascii="David" w:hAnsi="David"/>
          <w:b/>
          <w:bCs/>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6.</w:t>
      </w:r>
      <w:r w:rsidRPr="00E10C9D">
        <w:rPr>
          <w:rFonts w:ascii="David" w:hAnsi="David"/>
          <w:rtl/>
        </w:rPr>
        <w:tab/>
      </w:r>
      <w:r w:rsidRPr="00E10C9D">
        <w:rPr>
          <w:rFonts w:ascii="David" w:hAnsi="David"/>
          <w:u w:val="single"/>
          <w:rtl/>
        </w:rPr>
        <w:t>הפרסום הראשון</w:t>
      </w:r>
      <w:r w:rsidRPr="00E10C9D">
        <w:rPr>
          <w:rFonts w:ascii="David" w:hAnsi="David"/>
          <w:rtl/>
        </w:rPr>
        <w:t>: ביום 31/3/2020 הנתבעת פרסמה סרטון בעמוד הפייסבוק שלה בו נראה התובע מלווה בילדיו הקטינים בגן השעשועים  ובצמידות לסרטון כתבה:</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b/>
          <w:bCs/>
          <w:rtl/>
        </w:rPr>
      </w:pPr>
      <w:r w:rsidRPr="00E10C9D">
        <w:rPr>
          <w:rFonts w:ascii="David" w:hAnsi="David"/>
          <w:rtl/>
        </w:rPr>
        <w:tab/>
        <w:t>"</w:t>
      </w:r>
      <w:r w:rsidRPr="00E10C9D">
        <w:rPr>
          <w:rFonts w:ascii="David" w:hAnsi="David"/>
          <w:b/>
          <w:bCs/>
          <w:rtl/>
        </w:rPr>
        <w:t>אלוהים אדירים!!! עד כמה אפשר להיות כל כך חסר אחריות!!! להוציא ילדים קטנים לגן השעשועים שכל העולם צועק לא לעשות זאת! כמה עוד צריכים למות כדי שהורים והאבא הספציפי הזה, יבינו שמדובר בחיים של בני אדם וילדים שלנו. עד כמה לא מזיז לאותו אבא שהוא מסכן את הילדים שלו! בושה!!!</w:t>
      </w:r>
      <w:r w:rsidRPr="00E10C9D">
        <w:rPr>
          <w:rFonts w:ascii="David" w:hAnsi="David"/>
          <w:rtl/>
        </w:rPr>
        <w:t>" (להלן-</w:t>
      </w:r>
      <w:r w:rsidRPr="00E10C9D">
        <w:rPr>
          <w:rFonts w:ascii="David" w:hAnsi="David"/>
          <w:b/>
          <w:bCs/>
          <w:rtl/>
        </w:rPr>
        <w:t>הפרסום הראשון).</w:t>
      </w:r>
    </w:p>
    <w:p w:rsidR="001417C6" w:rsidRPr="00E10C9D" w:rsidRDefault="001417C6" w:rsidP="001417C6">
      <w:pPr>
        <w:spacing w:line="360" w:lineRule="auto"/>
        <w:ind w:left="720" w:hanging="720"/>
        <w:jc w:val="both"/>
        <w:rPr>
          <w:rFonts w:ascii="David" w:hAnsi="David"/>
          <w:b/>
          <w:bCs/>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r>
      <w:r w:rsidRPr="00E10C9D">
        <w:rPr>
          <w:rFonts w:ascii="David" w:hAnsi="David"/>
          <w:u w:val="single"/>
          <w:rtl/>
        </w:rPr>
        <w:t>הפרסום השני</w:t>
      </w:r>
      <w:r w:rsidRPr="00E10C9D">
        <w:rPr>
          <w:rFonts w:ascii="David" w:hAnsi="David"/>
          <w:rtl/>
        </w:rPr>
        <w:t>: ביום 9/7/2020 העלתה הנתבעת תצלום פניו של התובע וכתבה בצמידות לתמונה:</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b/>
          <w:bCs/>
          <w:rtl/>
        </w:rPr>
      </w:pPr>
      <w:r w:rsidRPr="00E10C9D">
        <w:rPr>
          <w:rFonts w:ascii="David" w:hAnsi="David"/>
          <w:rtl/>
        </w:rPr>
        <w:tab/>
        <w:t>"</w:t>
      </w:r>
      <w:r w:rsidRPr="00E10C9D">
        <w:rPr>
          <w:rFonts w:ascii="David" w:hAnsi="David"/>
          <w:b/>
          <w:bCs/>
          <w:rtl/>
        </w:rPr>
        <w:t xml:space="preserve">מה אפשר לומר על "גבר מתגרש" שלא משלם מזונות אבל תובעה </w:t>
      </w:r>
      <w:r w:rsidRPr="00E10C9D">
        <w:rPr>
          <w:rFonts w:ascii="David" w:hAnsi="David"/>
          <w:rtl/>
        </w:rPr>
        <w:t xml:space="preserve">[כך במקור] </w:t>
      </w:r>
      <w:r w:rsidRPr="00E10C9D">
        <w:rPr>
          <w:rFonts w:ascii="David" w:hAnsi="David"/>
          <w:b/>
          <w:bCs/>
          <w:rtl/>
        </w:rPr>
        <w:t>קצבת נכות של ילד בן 4 !!! פשוט להקיא</w:t>
      </w:r>
      <w:r w:rsidRPr="00E10C9D">
        <w:rPr>
          <w:rFonts w:ascii="David" w:hAnsi="David"/>
          <w:rtl/>
        </w:rPr>
        <w:t>"</w:t>
      </w:r>
      <w:r w:rsidRPr="00E10C9D">
        <w:rPr>
          <w:rFonts w:ascii="David" w:hAnsi="David"/>
          <w:b/>
          <w:bCs/>
          <w:rtl/>
        </w:rPr>
        <w:t xml:space="preserve"> </w:t>
      </w:r>
      <w:r w:rsidRPr="00E10C9D">
        <w:rPr>
          <w:rFonts w:ascii="David" w:hAnsi="David"/>
          <w:rtl/>
        </w:rPr>
        <w:t>(להלן-</w:t>
      </w:r>
      <w:r w:rsidRPr="00E10C9D">
        <w:rPr>
          <w:rFonts w:ascii="David" w:hAnsi="David"/>
          <w:b/>
          <w:bCs/>
          <w:rtl/>
        </w:rPr>
        <w:t xml:space="preserve"> הפרסום השני</w:t>
      </w:r>
      <w:r w:rsidRPr="00E10C9D">
        <w:rPr>
          <w:rFonts w:ascii="David" w:hAnsi="David"/>
          <w:rtl/>
        </w:rPr>
        <w:t>)</w:t>
      </w:r>
      <w:r w:rsidRPr="00E10C9D">
        <w:rPr>
          <w:rFonts w:ascii="David" w:hAnsi="David"/>
          <w:b/>
          <w:bCs/>
          <w:rtl/>
        </w:rPr>
        <w:t>.</w:t>
      </w:r>
    </w:p>
    <w:p w:rsidR="001417C6" w:rsidRPr="00E10C9D" w:rsidRDefault="001417C6" w:rsidP="001417C6">
      <w:pPr>
        <w:spacing w:line="360" w:lineRule="auto"/>
        <w:ind w:left="720" w:hanging="720"/>
        <w:jc w:val="both"/>
        <w:rPr>
          <w:rFonts w:ascii="David" w:hAnsi="David"/>
          <w:b/>
          <w:bCs/>
          <w:rtl/>
        </w:rPr>
      </w:pPr>
    </w:p>
    <w:p w:rsidR="001417C6" w:rsidRPr="00E10C9D" w:rsidRDefault="001417C6" w:rsidP="001417C6">
      <w:pPr>
        <w:spacing w:line="360" w:lineRule="auto"/>
        <w:ind w:left="720" w:hanging="720"/>
        <w:jc w:val="both"/>
        <w:rPr>
          <w:rFonts w:ascii="David" w:hAnsi="David"/>
          <w:rtl/>
        </w:rPr>
      </w:pPr>
      <w:r w:rsidRPr="00E10C9D">
        <w:rPr>
          <w:rFonts w:ascii="David" w:hAnsi="David"/>
          <w:b/>
          <w:bCs/>
          <w:rtl/>
        </w:rPr>
        <w:tab/>
      </w:r>
      <w:r w:rsidRPr="00E10C9D">
        <w:rPr>
          <w:rFonts w:ascii="David" w:hAnsi="David"/>
          <w:rtl/>
        </w:rPr>
        <w:t>לפרסום זה נלוו 5 תגובות נאצה ו-3 סימני 'אהבתי'.</w:t>
      </w:r>
      <w:r w:rsidRPr="00E10C9D">
        <w:rPr>
          <w:rFonts w:ascii="David" w:hAnsi="David"/>
          <w:b/>
          <w:bCs/>
          <w:rtl/>
        </w:rPr>
        <w:t xml:space="preserve"> "התגובות נאמרו על ידי חברות הקבוצה של הנתבעת". </w:t>
      </w:r>
      <w:r w:rsidRPr="00E10C9D">
        <w:rPr>
          <w:rFonts w:ascii="David" w:hAnsi="David"/>
          <w:rtl/>
        </w:rPr>
        <w:t>יוער בהקשר זה שבכתב התביעה צוין</w:t>
      </w:r>
      <w:r w:rsidRPr="00E10C9D">
        <w:rPr>
          <w:rFonts w:ascii="David" w:hAnsi="David"/>
          <w:b/>
          <w:bCs/>
          <w:rtl/>
        </w:rPr>
        <w:t xml:space="preserve"> "העתק מעמודי המגיבות מצ"ב מסומנת ח1-ח3 ", </w:t>
      </w:r>
      <w:r w:rsidRPr="00E10C9D">
        <w:rPr>
          <w:rFonts w:ascii="David" w:hAnsi="David"/>
          <w:rtl/>
        </w:rPr>
        <w:t xml:space="preserve">אולם אלו לא צורפו לתביעה בהגשתה והוגשו 3 ימים לאחר מכן.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ראוי לציין ומבלי להקדים המאוחר שהתמונה שצורפה לתיק כראיה לפרסום הראשון מטושטשת והיא כתמי צבע בלבד (נספחים ג ו- ה1). "דברי הנאצה" ביחס לפרסום השני העולים מהנספח הם: "</w:t>
      </w:r>
      <w:r w:rsidRPr="00E10C9D">
        <w:rPr>
          <w:rFonts w:ascii="David" w:hAnsi="David"/>
          <w:b/>
          <w:bCs/>
          <w:rtl/>
        </w:rPr>
        <w:t>עצוב</w:t>
      </w:r>
      <w:r w:rsidRPr="00E10C9D">
        <w:rPr>
          <w:rFonts w:ascii="David" w:hAnsi="David"/>
          <w:rtl/>
        </w:rPr>
        <w:t xml:space="preserve"> </w:t>
      </w:r>
      <w:r w:rsidRPr="00E10C9D">
        <w:rPr>
          <w:rFonts w:ascii="David" w:hAnsi="David"/>
          <w:b/>
          <w:bCs/>
          <w:rtl/>
        </w:rPr>
        <w:t>מאוד</w:t>
      </w:r>
      <w:r w:rsidRPr="00E10C9D">
        <w:rPr>
          <w:rFonts w:ascii="David" w:hAnsi="David"/>
          <w:rtl/>
        </w:rPr>
        <w:t xml:space="preserve">"; </w:t>
      </w:r>
      <w:r w:rsidRPr="00E10C9D">
        <w:rPr>
          <w:rFonts w:ascii="David" w:hAnsi="David"/>
          <w:b/>
          <w:bCs/>
          <w:rtl/>
        </w:rPr>
        <w:t>אימוג'י</w:t>
      </w:r>
      <w:r w:rsidRPr="00E10C9D">
        <w:rPr>
          <w:rFonts w:ascii="David" w:hAnsi="David"/>
          <w:rtl/>
        </w:rPr>
        <w:t xml:space="preserve"> של פרצוף צהבהב שמפיו יוצאת לשון ירוקה (אולי מסמן הקאה) (4 מופעים); "</w:t>
      </w:r>
      <w:r w:rsidRPr="00E10C9D">
        <w:rPr>
          <w:rFonts w:ascii="David" w:hAnsi="David"/>
          <w:b/>
          <w:bCs/>
          <w:rtl/>
        </w:rPr>
        <w:t>גועל נפש</w:t>
      </w:r>
      <w:r w:rsidRPr="00E10C9D">
        <w:rPr>
          <w:rFonts w:ascii="David" w:hAnsi="David"/>
          <w:rtl/>
        </w:rPr>
        <w:t>" "</w:t>
      </w:r>
      <w:r w:rsidRPr="00E10C9D">
        <w:rPr>
          <w:rFonts w:ascii="David" w:hAnsi="David"/>
          <w:b/>
          <w:bCs/>
          <w:rtl/>
        </w:rPr>
        <w:t>מזעזע</w:t>
      </w:r>
      <w:r w:rsidRPr="00E10C9D">
        <w:rPr>
          <w:rFonts w:ascii="David" w:hAnsi="David"/>
          <w:rtl/>
        </w:rPr>
        <w:t>". עוד ראוי לציין את נספח ט' "</w:t>
      </w:r>
      <w:r w:rsidRPr="00E10C9D">
        <w:rPr>
          <w:rFonts w:ascii="David" w:hAnsi="David"/>
          <w:b/>
          <w:bCs/>
          <w:rtl/>
        </w:rPr>
        <w:t>הודעה מטעם נציבות שוויון לאנשים עם מוגבלות – עדכון בנושא הנחיית יציאה למרחק 100 מטר מהבית עבור אנשים עם מוגבלות</w:t>
      </w:r>
      <w:r w:rsidRPr="00E10C9D">
        <w:rPr>
          <w:rFonts w:ascii="David" w:hAnsi="David"/>
          <w:rtl/>
        </w:rPr>
        <w:t xml:space="preserve">" שאינו נושא תאריך (נשלח על ידי התובע לבאי כוחו ב- 20/7/2020).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14" w:hanging="630"/>
        <w:jc w:val="both"/>
        <w:rPr>
          <w:rFonts w:ascii="David" w:hAnsi="David"/>
          <w:rtl/>
        </w:rPr>
      </w:pPr>
      <w:r w:rsidRPr="00E10C9D">
        <w:rPr>
          <w:rFonts w:ascii="David" w:hAnsi="David"/>
          <w:rtl/>
        </w:rPr>
        <w:t>7.</w:t>
      </w:r>
      <w:r w:rsidRPr="00E10C9D">
        <w:rPr>
          <w:rFonts w:ascii="David" w:hAnsi="David"/>
          <w:rtl/>
        </w:rPr>
        <w:tab/>
      </w:r>
      <w:r w:rsidRPr="00E10C9D">
        <w:rPr>
          <w:rFonts w:ascii="David" w:hAnsi="David"/>
          <w:u w:val="single"/>
          <w:rtl/>
        </w:rPr>
        <w:t>ביחס לפרסום הראשון</w:t>
      </w:r>
      <w:r w:rsidRPr="00E10C9D">
        <w:rPr>
          <w:rFonts w:ascii="David" w:hAnsi="David"/>
          <w:rtl/>
        </w:rPr>
        <w:t xml:space="preserve"> טען התובע שחומרתם רבה במיוחד ונובעת מכך שהנתבעת מודעת לצרכיו של הבן הבכור וחרף זאת פרסמה את הדברים. עוד טען שלא חרג מהנהלים </w:t>
      </w:r>
      <w:r w:rsidRPr="00E10C9D">
        <w:rPr>
          <w:rFonts w:ascii="David" w:hAnsi="David"/>
          <w:rtl/>
        </w:rPr>
        <w:lastRenderedPageBreak/>
        <w:t>והכללים אשר ידועים גם לנתבעת (הפנה לנספח ט' לכתב התביעה). משכך ידעה שהיא מוציאה "...</w:t>
      </w:r>
      <w:r w:rsidRPr="00E10C9D">
        <w:rPr>
          <w:rFonts w:ascii="David" w:hAnsi="David"/>
          <w:b/>
          <w:bCs/>
          <w:rtl/>
        </w:rPr>
        <w:t>דיבתו רעה שאין אמת בדבריה וכי אין כל פסול במעשיו של התובע בכך שהוציא את בנם בכורם יחד עם בתם הקטנה לשחק בגן השעשועים, מאחר ולא יכול היה להשאירה לבדה בבית</w:t>
      </w:r>
      <w:r w:rsidRPr="00E10C9D">
        <w:rPr>
          <w:rFonts w:ascii="David" w:hAnsi="David"/>
          <w:rtl/>
        </w:rPr>
        <w:t xml:space="preserve">".  </w:t>
      </w:r>
    </w:p>
    <w:p w:rsidR="001417C6" w:rsidRPr="00E10C9D" w:rsidRDefault="001417C6" w:rsidP="001417C6">
      <w:pPr>
        <w:spacing w:line="360" w:lineRule="auto"/>
        <w:ind w:left="714" w:hanging="630"/>
        <w:jc w:val="both"/>
        <w:rPr>
          <w:rFonts w:ascii="David" w:hAnsi="David"/>
          <w:rtl/>
        </w:rPr>
      </w:pPr>
    </w:p>
    <w:p w:rsidR="001417C6" w:rsidRPr="00E10C9D" w:rsidRDefault="001417C6" w:rsidP="001417C6">
      <w:pPr>
        <w:spacing w:line="360" w:lineRule="auto"/>
        <w:ind w:left="714" w:hanging="630"/>
        <w:jc w:val="both"/>
        <w:rPr>
          <w:rFonts w:ascii="David" w:hAnsi="David"/>
          <w:rtl/>
        </w:rPr>
      </w:pPr>
      <w:r w:rsidRPr="00E10C9D">
        <w:rPr>
          <w:rFonts w:ascii="David" w:hAnsi="David"/>
          <w:rtl/>
        </w:rPr>
        <w:t>8.</w:t>
      </w:r>
      <w:r w:rsidRPr="00E10C9D">
        <w:rPr>
          <w:rFonts w:ascii="David" w:hAnsi="David"/>
          <w:rtl/>
        </w:rPr>
        <w:tab/>
      </w:r>
      <w:r w:rsidRPr="00E10C9D">
        <w:rPr>
          <w:rFonts w:ascii="David" w:hAnsi="David"/>
          <w:u w:val="single"/>
          <w:rtl/>
        </w:rPr>
        <w:t>לעניין הפרסום השני</w:t>
      </w:r>
      <w:r w:rsidRPr="00E10C9D">
        <w:rPr>
          <w:rFonts w:ascii="David" w:hAnsi="David"/>
          <w:rtl/>
        </w:rPr>
        <w:t xml:space="preserve"> טען שהיא כיוונה "...</w:t>
      </w:r>
      <w:r w:rsidRPr="00E10C9D">
        <w:rPr>
          <w:rFonts w:ascii="David" w:hAnsi="David"/>
          <w:b/>
          <w:bCs/>
          <w:rtl/>
        </w:rPr>
        <w:t>את חיציה נוטפי הדיבה "לבטן הרכה" של כל אדם שנחשף לפוסטים שלה.</w:t>
      </w:r>
      <w:r w:rsidRPr="00E10C9D">
        <w:rPr>
          <w:rFonts w:ascii="David" w:hAnsi="David"/>
          <w:rtl/>
        </w:rPr>
        <w:t>" הוא  עמד בתשלום המזונות כסדרם וביחס לתביעת קצבת הנכות בינו לבין הנתבעת הסדרי שהות שווים "...</w:t>
      </w:r>
      <w:r w:rsidRPr="00E10C9D">
        <w:rPr>
          <w:rFonts w:ascii="David" w:hAnsi="David"/>
          <w:b/>
          <w:bCs/>
          <w:rtl/>
        </w:rPr>
        <w:t>לפיכך אין פסול בטענת התובע כי בנם הבכור זכאי למחצית קצבת הנכות שלו בעת שהותו במשמורת אצל התובע</w:t>
      </w:r>
      <w:r w:rsidRPr="00E10C9D">
        <w:rPr>
          <w:rFonts w:ascii="David" w:hAnsi="David"/>
          <w:rtl/>
        </w:rPr>
        <w:t>". משכך, טען התובע שמדובר ב"...</w:t>
      </w:r>
      <w:r w:rsidRPr="00E10C9D">
        <w:rPr>
          <w:rFonts w:ascii="David" w:hAnsi="David"/>
          <w:b/>
          <w:bCs/>
          <w:rtl/>
        </w:rPr>
        <w:t>שקר אומלל ומבזה, שנועד להכפיש את שם התובע ולעשותו ללעג ולקלס בעיני הקוראים</w:t>
      </w:r>
      <w:r w:rsidRPr="00E10C9D">
        <w:rPr>
          <w:rFonts w:ascii="David" w:hAnsi="David"/>
          <w:rtl/>
        </w:rPr>
        <w:t>".</w:t>
      </w:r>
    </w:p>
    <w:p w:rsidR="001417C6" w:rsidRPr="00E10C9D" w:rsidRDefault="001417C6" w:rsidP="001417C6">
      <w:pPr>
        <w:spacing w:line="360" w:lineRule="auto"/>
        <w:ind w:left="714" w:hanging="630"/>
        <w:jc w:val="both"/>
        <w:rPr>
          <w:rFonts w:ascii="David" w:hAnsi="David"/>
          <w:rtl/>
        </w:rPr>
      </w:pPr>
    </w:p>
    <w:p w:rsidR="001417C6" w:rsidRPr="00E10C9D" w:rsidRDefault="001417C6" w:rsidP="001417C6">
      <w:pPr>
        <w:spacing w:line="360" w:lineRule="auto"/>
        <w:ind w:left="714" w:hanging="630"/>
        <w:jc w:val="both"/>
        <w:rPr>
          <w:rFonts w:ascii="David" w:hAnsi="David"/>
          <w:rtl/>
        </w:rPr>
      </w:pPr>
      <w:r w:rsidRPr="00E10C9D">
        <w:rPr>
          <w:rFonts w:ascii="David" w:hAnsi="David"/>
          <w:rtl/>
        </w:rPr>
        <w:t>9.</w:t>
      </w:r>
      <w:r w:rsidRPr="00E10C9D">
        <w:rPr>
          <w:rFonts w:ascii="David" w:hAnsi="David"/>
          <w:rtl/>
        </w:rPr>
        <w:tab/>
        <w:t>התובע טען עוד שבעצם הפרסום הראשון יש פגיעה בפרטיותו של הבן הבכור.</w:t>
      </w:r>
    </w:p>
    <w:p w:rsidR="001417C6" w:rsidRPr="00E10C9D" w:rsidRDefault="001417C6" w:rsidP="001417C6">
      <w:pPr>
        <w:spacing w:line="360" w:lineRule="auto"/>
        <w:ind w:left="714" w:hanging="630"/>
        <w:jc w:val="both"/>
        <w:rPr>
          <w:rFonts w:ascii="David" w:hAnsi="David"/>
          <w:rtl/>
        </w:rPr>
      </w:pPr>
    </w:p>
    <w:p w:rsidR="001417C6" w:rsidRPr="00E10C9D" w:rsidRDefault="001417C6" w:rsidP="001417C6">
      <w:pPr>
        <w:spacing w:line="360" w:lineRule="auto"/>
        <w:ind w:left="714" w:hanging="630"/>
        <w:jc w:val="both"/>
        <w:rPr>
          <w:rFonts w:ascii="David" w:hAnsi="David"/>
          <w:b/>
          <w:bCs/>
          <w:rtl/>
        </w:rPr>
      </w:pPr>
      <w:r w:rsidRPr="00E10C9D">
        <w:rPr>
          <w:rFonts w:ascii="David" w:hAnsi="David"/>
          <w:rtl/>
        </w:rPr>
        <w:t>10.</w:t>
      </w:r>
      <w:r w:rsidRPr="00E10C9D">
        <w:rPr>
          <w:rFonts w:ascii="David" w:hAnsi="David"/>
          <w:rtl/>
        </w:rPr>
        <w:tab/>
        <w:t>התובע העמיד את תביעתו על סך של 70,000 ₪ לכל פרסום על פי השווי הסטטוטורי ללא הוכחת נזק ועל סך נוסף של 70,000 ₪ בשל פרסום תמונתו המהווה "</w:t>
      </w:r>
      <w:r w:rsidRPr="00E10C9D">
        <w:rPr>
          <w:rFonts w:ascii="David" w:hAnsi="David"/>
          <w:b/>
          <w:bCs/>
          <w:rtl/>
        </w:rPr>
        <w:t>עוולה המזכה בפיצוי ללא הוכחת נזק על פי סעיף 29 א' לחוק הפרטיות בסך 70,000 ₪</w:t>
      </w:r>
      <w:r w:rsidRPr="00E10C9D">
        <w:rPr>
          <w:rFonts w:ascii="David" w:hAnsi="David"/>
          <w:rtl/>
        </w:rPr>
        <w:t xml:space="preserve">" ולכן העמיד תביעתו על סך של 210,000 ₪.  </w:t>
      </w:r>
      <w:r w:rsidRPr="00E10C9D">
        <w:rPr>
          <w:rFonts w:ascii="David" w:hAnsi="David"/>
          <w:b/>
          <w:bCs/>
          <w:rtl/>
        </w:rPr>
        <w:t xml:space="preserve"> </w:t>
      </w:r>
    </w:p>
    <w:p w:rsidR="001417C6" w:rsidRPr="00E10C9D" w:rsidRDefault="001417C6" w:rsidP="001417C6">
      <w:pPr>
        <w:spacing w:line="360" w:lineRule="auto"/>
        <w:ind w:left="714" w:hanging="630"/>
        <w:jc w:val="both"/>
        <w:rPr>
          <w:rFonts w:ascii="David" w:hAnsi="David"/>
          <w:b/>
          <w:bCs/>
          <w:rtl/>
        </w:rPr>
      </w:pPr>
    </w:p>
    <w:p w:rsidR="001417C6" w:rsidRPr="00E10C9D" w:rsidRDefault="001417C6" w:rsidP="001417C6">
      <w:pPr>
        <w:spacing w:line="360" w:lineRule="auto"/>
        <w:ind w:left="720"/>
        <w:jc w:val="both"/>
        <w:rPr>
          <w:rFonts w:ascii="David" w:hAnsi="David"/>
          <w:b/>
          <w:bCs/>
          <w:rtl/>
        </w:rPr>
      </w:pPr>
      <w:r w:rsidRPr="00E10C9D">
        <w:rPr>
          <w:rFonts w:ascii="David" w:hAnsi="David"/>
          <w:b/>
          <w:bCs/>
          <w:u w:val="single"/>
          <w:rtl/>
        </w:rPr>
        <w:t>עיקר טענות הנתבעת (א.)</w:t>
      </w:r>
      <w:r w:rsidRPr="00E10C9D">
        <w:rPr>
          <w:rFonts w:ascii="David" w:hAnsi="David"/>
          <w:b/>
          <w:bCs/>
          <w:rtl/>
        </w:rPr>
        <w:t>:</w:t>
      </w:r>
    </w:p>
    <w:p w:rsidR="001417C6" w:rsidRPr="00E10C9D" w:rsidRDefault="001417C6" w:rsidP="001417C6">
      <w:pPr>
        <w:spacing w:line="360" w:lineRule="auto"/>
        <w:ind w:left="720"/>
        <w:jc w:val="both"/>
        <w:rPr>
          <w:rFonts w:ascii="David" w:hAnsi="David"/>
          <w:b/>
          <w:bCs/>
          <w:rtl/>
        </w:rPr>
      </w:pPr>
    </w:p>
    <w:p w:rsidR="001417C6" w:rsidRPr="00E10C9D" w:rsidRDefault="001417C6" w:rsidP="001417C6">
      <w:pPr>
        <w:spacing w:line="360" w:lineRule="auto"/>
        <w:ind w:left="714" w:hanging="630"/>
        <w:jc w:val="both"/>
        <w:rPr>
          <w:rFonts w:ascii="David" w:hAnsi="David"/>
          <w:rtl/>
        </w:rPr>
      </w:pPr>
      <w:r w:rsidRPr="00E10C9D">
        <w:rPr>
          <w:rFonts w:ascii="David" w:hAnsi="David"/>
          <w:rtl/>
        </w:rPr>
        <w:t>11.</w:t>
      </w:r>
      <w:r w:rsidRPr="00E10C9D">
        <w:rPr>
          <w:rFonts w:ascii="David" w:hAnsi="David"/>
          <w:rtl/>
        </w:rPr>
        <w:tab/>
      </w:r>
      <w:r w:rsidRPr="00E10C9D">
        <w:rPr>
          <w:rFonts w:ascii="David" w:hAnsi="David"/>
          <w:u w:val="single"/>
          <w:rtl/>
        </w:rPr>
        <w:t>לעניין הפרסום הראשון</w:t>
      </w:r>
      <w:r w:rsidRPr="00E10C9D">
        <w:rPr>
          <w:rFonts w:ascii="David" w:hAnsi="David"/>
          <w:rtl/>
        </w:rPr>
        <w:t>: התובע לא צירף עותק של הסרטון אלא תמונה אחת . "</w:t>
      </w:r>
      <w:r w:rsidRPr="00E10C9D">
        <w:rPr>
          <w:rFonts w:ascii="David" w:hAnsi="David"/>
          <w:b/>
          <w:bCs/>
          <w:rtl/>
        </w:rPr>
        <w:t>לא ברור כיצד הסיק התובע כי אכן מדובר בו, ולא בכל אדם אחר אשר בחר להסתובב באותו גן שעשועים, המדובר בתמונה באיכות גרועה, וקשירת סרטון זה הינה בגדר טענות מן היקב ומן הגורן. מאחר ולא ניתן לראות בפירוש כי המדובר בתובע</w:t>
      </w:r>
      <w:r w:rsidRPr="00E10C9D">
        <w:rPr>
          <w:rFonts w:ascii="David" w:hAnsi="David"/>
          <w:rtl/>
        </w:rPr>
        <w:t>..." הרי שלא מדובר בפרסום העונה להגדרת לשון הרע ועל כן דין טענות התובע בדבר הפרסום הראשון להידחות. עצם השיוך של הדברים אליו הם בבחינת "</w:t>
      </w:r>
      <w:r w:rsidRPr="00E10C9D">
        <w:rPr>
          <w:rFonts w:ascii="David" w:hAnsi="David"/>
          <w:b/>
          <w:bCs/>
          <w:rtl/>
        </w:rPr>
        <w:t>על ראש הגנב בוער הכובע</w:t>
      </w:r>
      <w:r w:rsidRPr="00E10C9D">
        <w:rPr>
          <w:rFonts w:ascii="David" w:hAnsi="David"/>
          <w:rtl/>
        </w:rPr>
        <w:t>".</w:t>
      </w:r>
    </w:p>
    <w:p w:rsidR="001417C6" w:rsidRPr="00E10C9D" w:rsidRDefault="001417C6" w:rsidP="001417C6">
      <w:pPr>
        <w:spacing w:line="360" w:lineRule="auto"/>
        <w:ind w:left="714" w:hanging="630"/>
        <w:jc w:val="both"/>
        <w:rPr>
          <w:rFonts w:ascii="David" w:hAnsi="David"/>
          <w:rtl/>
        </w:rPr>
      </w:pPr>
    </w:p>
    <w:p w:rsidR="001417C6" w:rsidRPr="00E10C9D" w:rsidRDefault="001417C6" w:rsidP="001417C6">
      <w:pPr>
        <w:spacing w:line="360" w:lineRule="auto"/>
        <w:ind w:left="714" w:hanging="630"/>
        <w:jc w:val="both"/>
        <w:rPr>
          <w:rFonts w:ascii="David" w:hAnsi="David"/>
          <w:rtl/>
        </w:rPr>
      </w:pPr>
      <w:r w:rsidRPr="00E10C9D">
        <w:rPr>
          <w:rFonts w:ascii="David" w:hAnsi="David"/>
          <w:rtl/>
        </w:rPr>
        <w:tab/>
      </w:r>
      <w:r w:rsidRPr="00E10C9D">
        <w:rPr>
          <w:rFonts w:ascii="David" w:hAnsi="David"/>
          <w:u w:val="single"/>
          <w:rtl/>
        </w:rPr>
        <w:t>לעניין הפרסום השני</w:t>
      </w:r>
      <w:r w:rsidRPr="00E10C9D">
        <w:rPr>
          <w:rFonts w:ascii="David" w:hAnsi="David"/>
          <w:rtl/>
        </w:rPr>
        <w:t>: ביחס לפרסום זה עומדת לה ההגנה הקבועה בסעיפים 14 ו- 15 לחוק איסור לשון הרע.  הפרסום שהתובע לא משלם מזונות "</w:t>
      </w:r>
      <w:r w:rsidRPr="00E10C9D">
        <w:rPr>
          <w:rFonts w:ascii="David" w:hAnsi="David"/>
          <w:b/>
          <w:bCs/>
          <w:rtl/>
        </w:rPr>
        <w:t>מקים תועלת ציבורית מוצדקת שלא ניתן לערער אחריה"</w:t>
      </w:r>
      <w:r w:rsidRPr="00E10C9D">
        <w:rPr>
          <w:rFonts w:ascii="David" w:hAnsi="David"/>
          <w:rtl/>
        </w:rPr>
        <w:t>.</w:t>
      </w:r>
    </w:p>
    <w:p w:rsidR="001417C6" w:rsidRPr="00E10C9D" w:rsidRDefault="001417C6" w:rsidP="001417C6">
      <w:pPr>
        <w:spacing w:line="360" w:lineRule="auto"/>
        <w:ind w:left="714" w:hanging="630"/>
        <w:jc w:val="both"/>
        <w:rPr>
          <w:rFonts w:ascii="David" w:hAnsi="David"/>
          <w:rtl/>
        </w:rPr>
      </w:pPr>
    </w:p>
    <w:p w:rsidR="001417C6" w:rsidRPr="00E10C9D" w:rsidRDefault="001417C6" w:rsidP="001417C6">
      <w:pPr>
        <w:spacing w:line="360" w:lineRule="auto"/>
        <w:ind w:left="714"/>
        <w:jc w:val="both"/>
        <w:rPr>
          <w:rFonts w:ascii="David" w:hAnsi="David"/>
          <w:rtl/>
        </w:rPr>
      </w:pPr>
      <w:r w:rsidRPr="00E10C9D">
        <w:rPr>
          <w:rFonts w:ascii="David" w:hAnsi="David"/>
          <w:rtl/>
        </w:rPr>
        <w:t>התובע צירף לתביעתו פירוט מתיק הוצאה לפועל על מנת להוכיח טענתו שעמד בתשלום המזונות. אלא שהתובע מתעלם מכך שלו היה משלם מזונות מלכתחילה לא היה נפתח לו תיק בלשכת ההוצאה לפועל. התובע "</w:t>
      </w:r>
      <w:r w:rsidRPr="00E10C9D">
        <w:rPr>
          <w:rFonts w:ascii="David" w:hAnsi="David"/>
          <w:b/>
          <w:bCs/>
          <w:rtl/>
        </w:rPr>
        <w:t>צריך להפקיד המזונות בחשבונה של הנתבעת (!) ולא בלשכת ההוצאה לפועל(!)</w:t>
      </w:r>
      <w:r w:rsidRPr="00E10C9D">
        <w:rPr>
          <w:rFonts w:ascii="David" w:hAnsi="David"/>
          <w:rtl/>
        </w:rPr>
        <w:t>" כך, טענה שעיון במסמך הפירוט מתיק ההוצאה לפועל מלמד שהוא אינו "...</w:t>
      </w:r>
      <w:r w:rsidRPr="00E10C9D">
        <w:rPr>
          <w:rFonts w:ascii="David" w:hAnsi="David"/>
          <w:b/>
          <w:bCs/>
          <w:rtl/>
        </w:rPr>
        <w:t>נוהג לשלם דמי מזונות באפן קבוע</w:t>
      </w:r>
      <w:r w:rsidRPr="00E10C9D">
        <w:rPr>
          <w:rFonts w:ascii="David" w:hAnsi="David"/>
          <w:rtl/>
        </w:rPr>
        <w:t xml:space="preserve">". </w:t>
      </w:r>
    </w:p>
    <w:p w:rsidR="001417C6" w:rsidRPr="00E10C9D" w:rsidRDefault="001417C6" w:rsidP="001417C6">
      <w:pPr>
        <w:spacing w:line="360" w:lineRule="auto"/>
        <w:ind w:left="714"/>
        <w:jc w:val="both"/>
        <w:rPr>
          <w:rFonts w:ascii="David" w:hAnsi="David"/>
          <w:rtl/>
        </w:rPr>
      </w:pPr>
    </w:p>
    <w:p w:rsidR="001417C6" w:rsidRPr="00E10C9D" w:rsidRDefault="001417C6" w:rsidP="001417C6">
      <w:pPr>
        <w:spacing w:line="360" w:lineRule="auto"/>
        <w:ind w:left="714"/>
        <w:jc w:val="both"/>
        <w:rPr>
          <w:rFonts w:ascii="David" w:hAnsi="David"/>
          <w:rtl/>
        </w:rPr>
      </w:pPr>
      <w:r w:rsidRPr="00E10C9D">
        <w:rPr>
          <w:rFonts w:ascii="David" w:hAnsi="David"/>
          <w:rtl/>
        </w:rPr>
        <w:lastRenderedPageBreak/>
        <w:t xml:space="preserve">לנתבעת עומדת טענת ההגנה אמת דיברתי גם מכוח החלטת בית הדין הרבני בבקשת התובע לקבל מחצית מהמענק אותו קיבלה הנתבעת (צורף לתיק). עובדה זו מאמתת את הדיווח לא רק שמדובר באמת דיברתי אלא שעומדת לה גם הגנת תום הלב שבסעיף 15 לחוק איסור לשון הרע.  </w:t>
      </w:r>
    </w:p>
    <w:p w:rsidR="001417C6" w:rsidRPr="00E10C9D" w:rsidRDefault="001417C6" w:rsidP="001417C6">
      <w:pPr>
        <w:spacing w:line="360" w:lineRule="auto"/>
        <w:ind w:left="714"/>
        <w:jc w:val="both"/>
        <w:rPr>
          <w:rFonts w:ascii="David" w:hAnsi="David"/>
          <w:rtl/>
        </w:rPr>
      </w:pPr>
    </w:p>
    <w:p w:rsidR="001417C6" w:rsidRPr="00E10C9D" w:rsidRDefault="001417C6" w:rsidP="001417C6">
      <w:pPr>
        <w:spacing w:line="360" w:lineRule="auto"/>
        <w:ind w:left="714"/>
        <w:jc w:val="both"/>
        <w:rPr>
          <w:rFonts w:ascii="David" w:hAnsi="David"/>
          <w:rtl/>
        </w:rPr>
      </w:pPr>
      <w:r w:rsidRPr="00E10C9D">
        <w:rPr>
          <w:rFonts w:ascii="David" w:hAnsi="David"/>
          <w:rtl/>
        </w:rPr>
        <w:t xml:space="preserve">מבלי לגרוע בכך, לעניין טענת התובע באשר לחשיפת הפרסומים באופן שיש בהם כדי לפגוע בו בקרב מכריו  וחבריו לעבודה טענה  הנתבעת שהתובע אינו עובד כך ש " </w:t>
      </w:r>
      <w:r w:rsidRPr="00E10C9D">
        <w:rPr>
          <w:rFonts w:ascii="David" w:hAnsi="David"/>
          <w:b/>
          <w:bCs/>
          <w:rtl/>
        </w:rPr>
        <w:t>"חבריו לעבודה" אינם קיימים</w:t>
      </w:r>
      <w:r w:rsidRPr="00E10C9D">
        <w:rPr>
          <w:rFonts w:ascii="David" w:hAnsi="David"/>
          <w:rtl/>
        </w:rPr>
        <w:t>",  בני משפחתו וחבריו אינם חברים עמה בפייסבוק "...</w:t>
      </w:r>
      <w:r w:rsidRPr="00E10C9D">
        <w:rPr>
          <w:rFonts w:ascii="David" w:hAnsi="David"/>
          <w:b/>
          <w:bCs/>
          <w:rtl/>
        </w:rPr>
        <w:t>ומשכך טענתו אינה יכולה לעמוד לו</w:t>
      </w:r>
      <w:r w:rsidRPr="00E10C9D">
        <w:rPr>
          <w:rFonts w:ascii="David" w:hAnsi="David"/>
          <w:rtl/>
        </w:rPr>
        <w:t xml:space="preserve">".   </w:t>
      </w:r>
    </w:p>
    <w:p w:rsidR="001417C6" w:rsidRPr="00E10C9D" w:rsidRDefault="001417C6" w:rsidP="001417C6">
      <w:pPr>
        <w:spacing w:line="360" w:lineRule="auto"/>
        <w:ind w:left="714"/>
        <w:jc w:val="both"/>
        <w:rPr>
          <w:rFonts w:ascii="David" w:hAnsi="David"/>
          <w:rtl/>
        </w:rPr>
      </w:pPr>
    </w:p>
    <w:p w:rsidR="001417C6" w:rsidRPr="00E10C9D" w:rsidRDefault="001417C6" w:rsidP="001417C6">
      <w:pPr>
        <w:spacing w:line="360" w:lineRule="auto"/>
        <w:ind w:left="714"/>
        <w:jc w:val="both"/>
        <w:rPr>
          <w:rFonts w:ascii="David" w:hAnsi="David"/>
          <w:rtl/>
        </w:rPr>
      </w:pPr>
      <w:r w:rsidRPr="00E10C9D">
        <w:rPr>
          <w:rFonts w:ascii="David" w:hAnsi="David"/>
          <w:rtl/>
        </w:rPr>
        <w:t>התובע לא חדל מלבלוש אחריה ולראיה צירפה תמונות שנשלחו אליה "...</w:t>
      </w:r>
      <w:r w:rsidRPr="00E10C9D">
        <w:rPr>
          <w:rFonts w:ascii="David" w:hAnsi="David"/>
          <w:b/>
          <w:bCs/>
          <w:rtl/>
        </w:rPr>
        <w:t>מיד לאחר שהתובע ניסה לפרוץ לחשבון הפייסבוק שלה</w:t>
      </w:r>
      <w:r w:rsidRPr="00E10C9D">
        <w:rPr>
          <w:rFonts w:ascii="David" w:hAnsi="David"/>
          <w:rtl/>
        </w:rPr>
        <w:t xml:space="preserve">". </w:t>
      </w:r>
    </w:p>
    <w:p w:rsidR="001417C6" w:rsidRPr="00E10C9D" w:rsidRDefault="001417C6" w:rsidP="001417C6">
      <w:pPr>
        <w:spacing w:line="360" w:lineRule="auto"/>
        <w:ind w:left="720" w:hanging="6"/>
        <w:jc w:val="both"/>
        <w:rPr>
          <w:rFonts w:ascii="David" w:hAnsi="David"/>
          <w:b/>
          <w:bCs/>
          <w:sz w:val="26"/>
          <w:szCs w:val="26"/>
          <w:rtl/>
        </w:rPr>
      </w:pPr>
      <w:r w:rsidRPr="00E10C9D">
        <w:rPr>
          <w:rFonts w:ascii="David" w:hAnsi="David"/>
          <w:b/>
          <w:bCs/>
          <w:sz w:val="26"/>
          <w:szCs w:val="26"/>
          <w:u w:val="thick"/>
          <w:rtl/>
        </w:rPr>
        <w:t>התביעה שכנגד</w:t>
      </w:r>
      <w:r w:rsidRPr="00E10C9D">
        <w:rPr>
          <w:rFonts w:ascii="David" w:hAnsi="David"/>
          <w:b/>
          <w:bCs/>
          <w:sz w:val="26"/>
          <w:szCs w:val="26"/>
          <w:rtl/>
        </w:rPr>
        <w:t>:</w:t>
      </w:r>
    </w:p>
    <w:p w:rsidR="001417C6" w:rsidRPr="00E10C9D" w:rsidRDefault="001417C6" w:rsidP="001417C6">
      <w:pPr>
        <w:spacing w:line="360" w:lineRule="auto"/>
        <w:ind w:left="720" w:hanging="6"/>
        <w:jc w:val="both"/>
        <w:rPr>
          <w:rFonts w:ascii="David" w:hAnsi="David"/>
          <w:b/>
          <w:bCs/>
          <w:sz w:val="26"/>
          <w:szCs w:val="26"/>
          <w:rtl/>
        </w:rPr>
      </w:pPr>
    </w:p>
    <w:p w:rsidR="001417C6" w:rsidRPr="00E10C9D" w:rsidRDefault="001417C6" w:rsidP="001417C6">
      <w:pPr>
        <w:spacing w:line="360" w:lineRule="auto"/>
        <w:ind w:left="720"/>
        <w:jc w:val="both"/>
        <w:rPr>
          <w:rFonts w:ascii="David" w:hAnsi="David"/>
          <w:b/>
          <w:bCs/>
          <w:sz w:val="28"/>
          <w:szCs w:val="28"/>
          <w:rtl/>
        </w:rPr>
      </w:pPr>
      <w:r w:rsidRPr="00E10C9D">
        <w:rPr>
          <w:rFonts w:ascii="David" w:hAnsi="David"/>
          <w:b/>
          <w:bCs/>
          <w:u w:val="single"/>
          <w:rtl/>
        </w:rPr>
        <w:t>עיקר טענות התובעת שכנגד (א.)</w:t>
      </w:r>
      <w:r w:rsidRPr="00E10C9D">
        <w:rPr>
          <w:rFonts w:ascii="David" w:hAnsi="David"/>
          <w:b/>
          <w:bCs/>
          <w:rtl/>
        </w:rPr>
        <w:t>:</w:t>
      </w:r>
    </w:p>
    <w:p w:rsidR="001417C6" w:rsidRPr="00E10C9D" w:rsidRDefault="001417C6" w:rsidP="001417C6">
      <w:pPr>
        <w:spacing w:line="360" w:lineRule="auto"/>
        <w:ind w:left="720"/>
        <w:jc w:val="both"/>
        <w:rPr>
          <w:rFonts w:ascii="David" w:hAnsi="David"/>
          <w:b/>
          <w:bCs/>
          <w:sz w:val="28"/>
          <w:szCs w:val="28"/>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12.</w:t>
      </w:r>
      <w:r w:rsidRPr="00E10C9D">
        <w:rPr>
          <w:rFonts w:ascii="David" w:hAnsi="David"/>
          <w:rtl/>
        </w:rPr>
        <w:tab/>
        <w:t>חברתה הגב' י.ו. פגשה בנתבע שכנגד (מ.) באקראי ב"קפה קרמה". הנתבע שכנגד פנה אליה בקולי קולות ואמר "</w:t>
      </w:r>
      <w:r w:rsidRPr="00E10C9D">
        <w:rPr>
          <w:rFonts w:ascii="David" w:hAnsi="David"/>
          <w:b/>
          <w:bCs/>
          <w:rtl/>
        </w:rPr>
        <w:t>הנה החָברה של גרושתי הזונה- שרמוטה, שמזדיינת עם כל העיר</w:t>
      </w:r>
      <w:r w:rsidRPr="00E10C9D">
        <w:rPr>
          <w:rFonts w:ascii="David" w:hAnsi="David"/>
          <w:rtl/>
        </w:rPr>
        <w:t>" תצהיר הגב' י.ו. צורף לכתב התביעה.</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בחודש אוגוסט 2020 פנה התובע לדיירת ששכרה יחידת דיור בסמוך למגורי התובעת שכנגד אחת ש.ח. במילים הבאות: "</w:t>
      </w:r>
      <w:r w:rsidRPr="00E10C9D">
        <w:rPr>
          <w:rFonts w:ascii="David" w:hAnsi="David"/>
          <w:b/>
          <w:bCs/>
          <w:rtl/>
        </w:rPr>
        <w:t>בעלת הדירה שלך, השרמוטה הזו, ממשיכה להביא לפה גברים?</w:t>
      </w:r>
      <w:r w:rsidRPr="00E10C9D">
        <w:rPr>
          <w:rFonts w:ascii="David" w:hAnsi="David"/>
          <w:rtl/>
        </w:rPr>
        <w:t>" לאחר שאותה דיירת השיבה שאינה יודעת השיב לה הנתבע שכנגד "</w:t>
      </w:r>
      <w:r w:rsidRPr="00E10C9D">
        <w:rPr>
          <w:rFonts w:ascii="David" w:hAnsi="David"/>
          <w:b/>
          <w:bCs/>
          <w:rtl/>
        </w:rPr>
        <w:t>יאללה  יאללה כולם יודעים באילת מי זו א.ע.</w:t>
      </w:r>
      <w:r w:rsidRPr="00E10C9D">
        <w:rPr>
          <w:rFonts w:ascii="David" w:hAnsi="David"/>
          <w:rtl/>
        </w:rPr>
        <w:t>". תצהיר הגב' ש.ח. צורף לכתב התביעה.</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הפרסום נעשה בלשון פוגענית ש"...</w:t>
      </w:r>
      <w:r w:rsidRPr="00E10C9D">
        <w:rPr>
          <w:rFonts w:ascii="David" w:hAnsi="David"/>
          <w:b/>
          <w:bCs/>
          <w:rtl/>
        </w:rPr>
        <w:t>התובעת הינה אישה הנוהגת למכור את גופה תמורת תשלום כספי</w:t>
      </w:r>
      <w:r w:rsidRPr="00E10C9D">
        <w:rPr>
          <w:rFonts w:ascii="David" w:hAnsi="David"/>
          <w:rtl/>
        </w:rPr>
        <w:t xml:space="preserve">...".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הנתבע שכנגד מקפיד שהפרסומים יגיעו לקרוביה ואנשים נוספים סיפרו לה שהנתבע שכנגד נהג להשפילה באזניהם ברבים "...</w:t>
      </w:r>
      <w:r w:rsidRPr="00E10C9D">
        <w:rPr>
          <w:rFonts w:ascii="David" w:hAnsi="David"/>
          <w:b/>
          <w:bCs/>
          <w:rtl/>
        </w:rPr>
        <w:t>אולם לא עלה בידיה של התובעת שכנגד להציג תצהיר מטעמם, ולפיכך התובעת שכנגד שומרת לעצמה את הזכות להמציא תצהירים נוספים.</w:t>
      </w:r>
      <w:r w:rsidRPr="00E10C9D">
        <w:rPr>
          <w:rFonts w:ascii="David" w:hAnsi="David"/>
          <w:rtl/>
        </w:rPr>
        <w:t>"</w:t>
      </w:r>
    </w:p>
    <w:p w:rsidR="001417C6" w:rsidRPr="00E10C9D" w:rsidRDefault="001417C6" w:rsidP="001417C6">
      <w:pPr>
        <w:spacing w:line="360" w:lineRule="auto"/>
        <w:ind w:left="720"/>
        <w:jc w:val="both"/>
        <w:rPr>
          <w:rFonts w:ascii="David" w:hAnsi="David"/>
          <w:rtl/>
        </w:rPr>
      </w:pPr>
      <w:r w:rsidRPr="00E10C9D">
        <w:rPr>
          <w:rFonts w:ascii="David" w:hAnsi="David"/>
          <w:rtl/>
        </w:rPr>
        <w:t>אותם שומעים "</w:t>
      </w:r>
      <w:r w:rsidRPr="00E10C9D">
        <w:rPr>
          <w:rFonts w:ascii="David" w:hAnsi="David"/>
          <w:b/>
          <w:bCs/>
          <w:rtl/>
        </w:rPr>
        <w:t>פנו אליה ו/או לבני משפחתה ותהו מהם פשר הדברים, מדוע הנתבע שכנגד מפרסם אודותיה אמירות פוגעניות, שקריות ונבזיות כגון דא.</w:t>
      </w:r>
      <w:r w:rsidRPr="00E10C9D">
        <w:rPr>
          <w:rFonts w:ascii="David" w:hAnsi="David"/>
          <w:rtl/>
        </w:rPr>
        <w:t xml:space="preserve">"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התובעת שכנגד העמידה תביעתה על סך 100 אלף ₪ המהווה הסכום הנקוב ללא הוכחת נזק "(</w:t>
      </w:r>
      <w:r w:rsidRPr="00E10C9D">
        <w:rPr>
          <w:rFonts w:ascii="David" w:hAnsi="David"/>
          <w:b/>
          <w:bCs/>
          <w:rtl/>
        </w:rPr>
        <w:t>כשיעורו למועד הגשת התובענה)</w:t>
      </w:r>
      <w:r w:rsidRPr="00E10C9D">
        <w:rPr>
          <w:rFonts w:ascii="David" w:hAnsi="David"/>
          <w:rtl/>
        </w:rPr>
        <w:t xml:space="preserve">".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rPr>
          <w:rFonts w:ascii="David" w:hAnsi="David"/>
          <w:b/>
          <w:bCs/>
          <w:sz w:val="28"/>
          <w:szCs w:val="28"/>
          <w:rtl/>
        </w:rPr>
      </w:pPr>
      <w:r w:rsidRPr="00E10C9D">
        <w:rPr>
          <w:rFonts w:ascii="David" w:hAnsi="David"/>
          <w:b/>
          <w:bCs/>
          <w:u w:val="single"/>
          <w:rtl/>
        </w:rPr>
        <w:t>עיקר טענות הנתבע שכנגד (מ.)</w:t>
      </w:r>
      <w:r w:rsidRPr="00E10C9D">
        <w:rPr>
          <w:rFonts w:ascii="David" w:hAnsi="David"/>
          <w:b/>
          <w:bCs/>
          <w:rtl/>
        </w:rPr>
        <w:t>:</w:t>
      </w:r>
    </w:p>
    <w:p w:rsidR="001417C6" w:rsidRPr="00E10C9D" w:rsidRDefault="001417C6" w:rsidP="001417C6">
      <w:pPr>
        <w:spacing w:line="360" w:lineRule="auto"/>
        <w:ind w:left="720"/>
        <w:rPr>
          <w:rFonts w:ascii="David" w:hAnsi="David"/>
          <w:b/>
          <w:bCs/>
          <w:sz w:val="28"/>
          <w:szCs w:val="28"/>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lastRenderedPageBreak/>
        <w:t>13.</w:t>
      </w:r>
      <w:r w:rsidRPr="00E10C9D">
        <w:rPr>
          <w:rFonts w:ascii="David" w:hAnsi="David"/>
          <w:rtl/>
        </w:rPr>
        <w:tab/>
        <w:t>מעולם לא פגש בחברה כמתואר בתצהירה באותו בית קפה ועל כן מעולם גם לא אמר את הדברים המיוחסים לו. מדובר בחברתה הקרובה של התובעת שכנגד, עושה דברה, אשר הגישה נגדו ביחד עם א. תלונת שווא שהובילה להגשת כתב אישום. בשל העדויות "הפתלתלות" והסותרות של התובעת שכנגד והחָברה "...</w:t>
      </w:r>
      <w:r w:rsidRPr="00E10C9D">
        <w:rPr>
          <w:rFonts w:ascii="David" w:hAnsi="David"/>
          <w:b/>
          <w:bCs/>
          <w:rtl/>
        </w:rPr>
        <w:t>מצאה עצמה המאשימה בפני שוקת שבורה ונאלצה לחזור בה מהאישום כנגד הנתבע</w:t>
      </w:r>
      <w:r w:rsidRPr="00E10C9D">
        <w:rPr>
          <w:rFonts w:ascii="David" w:hAnsi="David"/>
          <w:rtl/>
        </w:rPr>
        <w:t>".</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לא ברור איך לא הזכירה החָברה בהליך הפלילי שהוא "...</w:t>
      </w:r>
      <w:r w:rsidRPr="00E10C9D">
        <w:rPr>
          <w:rFonts w:ascii="David" w:hAnsi="David"/>
          <w:b/>
          <w:bCs/>
          <w:rtl/>
        </w:rPr>
        <w:t>נהג לפנות אליה תכופות ולדבר באזניה דברי סרה בגנות התובעת כמתואר בסעיף 9 בכתב התביעה</w:t>
      </w:r>
      <w:r w:rsidRPr="00E10C9D">
        <w:rPr>
          <w:rFonts w:ascii="David" w:hAnsi="David"/>
          <w:rtl/>
        </w:rPr>
        <w:t xml:space="preserve">".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14.</w:t>
      </w:r>
      <w:r w:rsidRPr="00E10C9D">
        <w:rPr>
          <w:rFonts w:ascii="David" w:hAnsi="David"/>
          <w:rtl/>
        </w:rPr>
        <w:tab/>
        <w:t>לעניין הדיירת טען שזו מתגוררת ביחידת דיור בשליטת התובעת שכנגד וזו "...</w:t>
      </w:r>
      <w:r w:rsidRPr="00E10C9D">
        <w:rPr>
          <w:rFonts w:ascii="David" w:hAnsi="David"/>
          <w:b/>
          <w:bCs/>
          <w:rtl/>
        </w:rPr>
        <w:t>תתקשה לסרב לבקשת התובעת ולשתף עמה פעולה</w:t>
      </w:r>
      <w:r w:rsidRPr="00E10C9D">
        <w:rPr>
          <w:rFonts w:ascii="David" w:hAnsi="David"/>
          <w:rtl/>
        </w:rPr>
        <w:t>." כך או כך, הכחיש מכול וכול את אותה שיחה נטענת עם אותה דיירת.</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b/>
          <w:bCs/>
          <w:sz w:val="28"/>
          <w:szCs w:val="28"/>
          <w:rtl/>
        </w:rPr>
      </w:pPr>
      <w:r w:rsidRPr="00E10C9D">
        <w:rPr>
          <w:rFonts w:ascii="David" w:hAnsi="David"/>
          <w:b/>
          <w:bCs/>
          <w:sz w:val="28"/>
          <w:szCs w:val="28"/>
          <w:u w:val="double"/>
          <w:rtl/>
        </w:rPr>
        <w:t>השאלות בפסק הדין</w:t>
      </w:r>
      <w:r w:rsidRPr="00E10C9D">
        <w:rPr>
          <w:rFonts w:ascii="David" w:hAnsi="David"/>
          <w:b/>
          <w:bCs/>
          <w:sz w:val="28"/>
          <w:szCs w:val="28"/>
          <w:rtl/>
        </w:rPr>
        <w:t>:</w:t>
      </w:r>
    </w:p>
    <w:p w:rsidR="001417C6" w:rsidRPr="00E10C9D" w:rsidRDefault="001417C6" w:rsidP="001417C6">
      <w:pPr>
        <w:spacing w:line="360" w:lineRule="auto"/>
        <w:ind w:left="720" w:hanging="720"/>
        <w:jc w:val="both"/>
        <w:rPr>
          <w:rFonts w:ascii="David" w:hAnsi="David"/>
          <w:b/>
          <w:bCs/>
          <w:sz w:val="28"/>
          <w:szCs w:val="28"/>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15.</w:t>
      </w:r>
      <w:r w:rsidRPr="00E10C9D">
        <w:rPr>
          <w:rFonts w:ascii="David" w:hAnsi="David"/>
          <w:rtl/>
        </w:rPr>
        <w:tab/>
        <w:t>פסק הדין יעסוק בשאלה האם הגשת תלונה במשטרה ולאחר שהוגש כתב אישום כנגד מ. בחרה המאשימה לחזור בה בשל קושי ראייתי עולה כדי לשון הרע. שאלה נוספת העולה מהתביעה השנייה היא האם הפרסומים עליהם הצביע מ. בתביעתו עולים כדי עוולת לשון הרע ואם כן מה הפיצוי הראוי בעניין זה. כך, תיבחן השאלה אם טענותיה של א. בתביעה שכנגד עומדים במבחנים של לשון הרע ואם כן מה הפיצוי הראוי. בהקשר התביעה של התובע ביחס לחברה תיבחן השאלה האם היה מקום להגישה כלל - בבחינת סילוק על הסף- (מבלי לגרוע באמור בעניין ההחלטה על צירופה) ומה הפיצוי הראוי אם אכן לא היה מקום לכלול את החָברה בכתב התביעה.</w:t>
      </w:r>
      <w:r w:rsidRPr="00E10C9D">
        <w:rPr>
          <w:rFonts w:ascii="David" w:hAnsi="David"/>
          <w:rtl/>
        </w:rPr>
        <w:tab/>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b/>
          <w:bCs/>
          <w:sz w:val="28"/>
          <w:szCs w:val="28"/>
          <w:rtl/>
        </w:rPr>
      </w:pPr>
      <w:r w:rsidRPr="00E10C9D">
        <w:rPr>
          <w:rFonts w:ascii="David" w:hAnsi="David"/>
          <w:b/>
          <w:bCs/>
          <w:sz w:val="28"/>
          <w:szCs w:val="28"/>
          <w:u w:val="double"/>
          <w:rtl/>
        </w:rPr>
        <w:t>ההליך</w:t>
      </w:r>
      <w:r w:rsidRPr="00E10C9D">
        <w:rPr>
          <w:rFonts w:ascii="David" w:hAnsi="David"/>
          <w:b/>
          <w:bCs/>
          <w:sz w:val="28"/>
          <w:szCs w:val="28"/>
          <w:rtl/>
        </w:rPr>
        <w:t>:</w:t>
      </w:r>
    </w:p>
    <w:p w:rsidR="001417C6" w:rsidRPr="00E10C9D" w:rsidRDefault="001417C6" w:rsidP="001417C6">
      <w:pPr>
        <w:spacing w:line="360" w:lineRule="auto"/>
        <w:ind w:left="720" w:hanging="720"/>
        <w:jc w:val="both"/>
        <w:rPr>
          <w:rFonts w:ascii="David" w:hAnsi="David"/>
          <w:b/>
          <w:bCs/>
          <w:sz w:val="28"/>
          <w:szCs w:val="28"/>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16.</w:t>
      </w:r>
      <w:r w:rsidRPr="00E10C9D">
        <w:rPr>
          <w:rFonts w:ascii="David" w:hAnsi="David"/>
          <w:rtl/>
        </w:rPr>
        <w:tab/>
        <w:t xml:space="preserve">הדיון ב-3 התביעות התקיים במאוחד.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במסגרת דיון ההוכחות העידו רק בעלי הדין: מ. א. והחָברה. מבלי להקדים המאוחר ברי שכל רכיב בתביעות אשר מסתמך על גורמים שאינם בעלי הדין, מן הסתם, לא יקבל כל משמעות לצורך מתן פסק הדין.</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b/>
          <w:bCs/>
          <w:sz w:val="28"/>
          <w:szCs w:val="28"/>
          <w:rtl/>
        </w:rPr>
      </w:pPr>
      <w:r w:rsidRPr="00E10C9D">
        <w:rPr>
          <w:rFonts w:ascii="David" w:hAnsi="David"/>
          <w:rtl/>
        </w:rPr>
        <w:t xml:space="preserve"> </w:t>
      </w:r>
      <w:r w:rsidRPr="00E10C9D">
        <w:rPr>
          <w:rFonts w:ascii="David" w:hAnsi="David"/>
          <w:b/>
          <w:bCs/>
          <w:sz w:val="28"/>
          <w:szCs w:val="28"/>
          <w:u w:val="double"/>
          <w:rtl/>
        </w:rPr>
        <w:t>דיון והכרעה</w:t>
      </w:r>
      <w:r w:rsidRPr="00E10C9D">
        <w:rPr>
          <w:rFonts w:ascii="David" w:hAnsi="David"/>
          <w:b/>
          <w:bCs/>
          <w:sz w:val="28"/>
          <w:szCs w:val="28"/>
          <w:rtl/>
        </w:rPr>
        <w:t>:</w:t>
      </w:r>
    </w:p>
    <w:p w:rsidR="001417C6" w:rsidRPr="00E10C9D" w:rsidRDefault="001417C6" w:rsidP="001417C6">
      <w:pPr>
        <w:spacing w:line="360" w:lineRule="auto"/>
        <w:ind w:left="720" w:hanging="720"/>
        <w:jc w:val="both"/>
        <w:rPr>
          <w:rFonts w:ascii="David" w:hAnsi="David"/>
          <w:b/>
          <w:bCs/>
          <w:sz w:val="28"/>
          <w:szCs w:val="28"/>
          <w:rtl/>
        </w:rPr>
      </w:pPr>
    </w:p>
    <w:p w:rsidR="001417C6" w:rsidRPr="00E10C9D" w:rsidRDefault="001417C6" w:rsidP="001417C6">
      <w:pPr>
        <w:spacing w:line="360" w:lineRule="auto"/>
        <w:ind w:left="720" w:hanging="720"/>
        <w:jc w:val="both"/>
        <w:rPr>
          <w:rFonts w:ascii="David" w:hAnsi="David"/>
          <w:b/>
          <w:bCs/>
          <w:rtl/>
        </w:rPr>
      </w:pPr>
      <w:r w:rsidRPr="00E10C9D">
        <w:rPr>
          <w:rFonts w:ascii="David" w:hAnsi="David"/>
          <w:rtl/>
        </w:rPr>
        <w:t>17.</w:t>
      </w:r>
      <w:r w:rsidRPr="00E10C9D">
        <w:rPr>
          <w:rFonts w:ascii="David" w:hAnsi="David"/>
          <w:rtl/>
        </w:rPr>
        <w:tab/>
        <w:t xml:space="preserve">בפתח  ספרו התשיעי כותב מרקוס אורליוס את הדברים הבאים </w:t>
      </w:r>
      <w:r w:rsidRPr="00E10C9D">
        <w:rPr>
          <w:rFonts w:ascii="David" w:hAnsi="David"/>
          <w:b/>
          <w:bCs/>
          <w:rtl/>
        </w:rPr>
        <w:t xml:space="preserve">"(2 ) יתרה מזאת האומר דבר שקר חוטא אף הוא לאותה אלוהות ושמה אמת; היא היא סיבתם הראשונית של כל דברי מישרים. מי שמשקר מרצונו אפוא חוטא,  באשר הוא מעוות את הצדק בדברי מרמה. חוטא אף המשקר על כורחו, באשר אין הוא עולה בקנה אחד עם טבע העולם, אלא מפריע </w:t>
      </w:r>
      <w:r w:rsidRPr="00E10C9D">
        <w:rPr>
          <w:rFonts w:ascii="David" w:hAnsi="David"/>
          <w:b/>
          <w:bCs/>
          <w:rtl/>
        </w:rPr>
        <w:lastRenderedPageBreak/>
        <w:t xml:space="preserve">סדרו בהילחמו נגד טבעו המסודר של היקום. אכן מלחמה היא, אם יתיר אדם לעצמו להיסחף אל היפוכם של דברי אמת; הן לפנים קיבל האדם סגולותיו מן הטבע ועתה, בהזניחו אותן, אין ביכולתן עוד להבחין בין שקר לאמת" </w:t>
      </w:r>
      <w:r w:rsidRPr="00E10C9D">
        <w:rPr>
          <w:rFonts w:ascii="David" w:hAnsi="David"/>
          <w:rtl/>
        </w:rPr>
        <w:t>( מרקוס אורליוס</w:t>
      </w:r>
      <w:r w:rsidRPr="00E10C9D">
        <w:rPr>
          <w:rFonts w:ascii="David" w:hAnsi="David"/>
          <w:b/>
          <w:bCs/>
          <w:rtl/>
        </w:rPr>
        <w:t xml:space="preserve"> </w:t>
      </w:r>
      <w:r w:rsidRPr="00E10C9D">
        <w:rPr>
          <w:rFonts w:ascii="David" w:hAnsi="David"/>
          <w:u w:val="single"/>
          <w:rtl/>
        </w:rPr>
        <w:t>מחשבות לעצמי</w:t>
      </w:r>
      <w:r w:rsidRPr="00E10C9D">
        <w:rPr>
          <w:rFonts w:ascii="David" w:hAnsi="David"/>
          <w:rtl/>
        </w:rPr>
        <w:t xml:space="preserve"> (2012) עמ' 128). אין דרך טובה יותר לתאר התביעות שלפני.  </w:t>
      </w:r>
    </w:p>
    <w:p w:rsidR="001417C6" w:rsidRPr="00E10C9D" w:rsidRDefault="001417C6" w:rsidP="001417C6">
      <w:pPr>
        <w:spacing w:line="360" w:lineRule="auto"/>
        <w:ind w:left="720" w:hanging="720"/>
        <w:jc w:val="both"/>
        <w:rPr>
          <w:rFonts w:ascii="David" w:hAnsi="David"/>
          <w:b/>
          <w:bCs/>
          <w:rtl/>
        </w:rPr>
      </w:pPr>
    </w:p>
    <w:p w:rsidR="001417C6" w:rsidRPr="00E10C9D" w:rsidRDefault="001417C6" w:rsidP="001417C6">
      <w:pPr>
        <w:spacing w:line="360" w:lineRule="auto"/>
        <w:ind w:left="714" w:hanging="630"/>
        <w:jc w:val="both"/>
        <w:rPr>
          <w:rFonts w:ascii="David" w:hAnsi="David"/>
          <w:b/>
          <w:bCs/>
          <w:u w:val="single"/>
          <w:rtl/>
        </w:rPr>
      </w:pPr>
      <w:r w:rsidRPr="00E10C9D">
        <w:rPr>
          <w:rFonts w:ascii="David" w:hAnsi="David"/>
          <w:b/>
          <w:bCs/>
          <w:sz w:val="26"/>
          <w:szCs w:val="26"/>
          <w:u w:val="thick"/>
          <w:rtl/>
        </w:rPr>
        <w:t>לשון הרע</w:t>
      </w:r>
      <w:r w:rsidRPr="00E10C9D">
        <w:rPr>
          <w:rFonts w:ascii="David" w:hAnsi="David"/>
          <w:b/>
          <w:bCs/>
          <w:rtl/>
        </w:rPr>
        <w:t>:</w:t>
      </w:r>
    </w:p>
    <w:p w:rsidR="001417C6" w:rsidRPr="00E10C9D" w:rsidRDefault="001417C6" w:rsidP="001417C6">
      <w:pPr>
        <w:spacing w:line="360" w:lineRule="auto"/>
        <w:ind w:left="714" w:hanging="630"/>
        <w:jc w:val="both"/>
        <w:rPr>
          <w:rFonts w:ascii="David" w:hAnsi="David"/>
          <w:b/>
          <w:bCs/>
          <w:u w:val="single"/>
          <w:rtl/>
        </w:rPr>
      </w:pPr>
    </w:p>
    <w:p w:rsidR="001417C6" w:rsidRPr="00E10C9D" w:rsidRDefault="001417C6" w:rsidP="001417C6">
      <w:pPr>
        <w:spacing w:line="360" w:lineRule="auto"/>
        <w:ind w:left="714" w:hanging="630"/>
        <w:jc w:val="both"/>
        <w:rPr>
          <w:rFonts w:ascii="David" w:hAnsi="David"/>
          <w:rtl/>
        </w:rPr>
      </w:pPr>
      <w:r w:rsidRPr="00E10C9D">
        <w:rPr>
          <w:rFonts w:ascii="David" w:hAnsi="David"/>
          <w:rtl/>
        </w:rPr>
        <w:tab/>
      </w:r>
      <w:r w:rsidRPr="00E10C9D">
        <w:rPr>
          <w:rFonts w:ascii="David" w:hAnsi="David"/>
          <w:b/>
          <w:bCs/>
          <w:u w:val="single"/>
          <w:rtl/>
        </w:rPr>
        <w:t>מתווה נורמטיבי</w:t>
      </w:r>
      <w:r w:rsidRPr="00E10C9D">
        <w:rPr>
          <w:rFonts w:ascii="David" w:hAnsi="David"/>
          <w:rtl/>
        </w:rPr>
        <w:t>:</w:t>
      </w:r>
    </w:p>
    <w:p w:rsidR="001417C6" w:rsidRPr="00E10C9D" w:rsidRDefault="001417C6" w:rsidP="001417C6">
      <w:pPr>
        <w:spacing w:line="360" w:lineRule="auto"/>
        <w:ind w:left="714" w:hanging="630"/>
        <w:jc w:val="both"/>
        <w:rPr>
          <w:rFonts w:ascii="David" w:hAnsi="David"/>
          <w:rtl/>
        </w:rPr>
      </w:pPr>
    </w:p>
    <w:p w:rsidR="001417C6" w:rsidRPr="00E10C9D" w:rsidRDefault="001417C6" w:rsidP="001417C6">
      <w:pPr>
        <w:spacing w:line="360" w:lineRule="auto"/>
        <w:ind w:left="714" w:hanging="630"/>
        <w:jc w:val="both"/>
        <w:rPr>
          <w:rFonts w:ascii="David" w:hAnsi="David"/>
        </w:rPr>
      </w:pPr>
      <w:r w:rsidRPr="00E10C9D">
        <w:rPr>
          <w:rFonts w:ascii="David" w:hAnsi="David"/>
          <w:rtl/>
        </w:rPr>
        <w:t>18.</w:t>
      </w:r>
      <w:r w:rsidRPr="00E10C9D">
        <w:rPr>
          <w:rFonts w:ascii="David" w:hAnsi="David"/>
          <w:rtl/>
        </w:rPr>
        <w:tab/>
        <w:t xml:space="preserve">מדובר בתביעתו מכוח חוק איסור לשון הרע, תשכ"ה – 1965 (להלן: </w:t>
      </w:r>
      <w:r w:rsidRPr="00E10C9D">
        <w:rPr>
          <w:rFonts w:ascii="David" w:hAnsi="David"/>
          <w:b/>
          <w:bCs/>
          <w:rtl/>
        </w:rPr>
        <w:t>החוק</w:t>
      </w:r>
      <w:r w:rsidRPr="00E10C9D">
        <w:rPr>
          <w:rFonts w:ascii="David" w:hAnsi="David"/>
          <w:rtl/>
        </w:rPr>
        <w:t>).</w:t>
      </w:r>
    </w:p>
    <w:p w:rsidR="001417C6" w:rsidRPr="00E10C9D" w:rsidRDefault="001417C6" w:rsidP="001417C6">
      <w:pPr>
        <w:spacing w:line="360" w:lineRule="auto"/>
        <w:ind w:left="714" w:hanging="630"/>
        <w:jc w:val="both"/>
        <w:rPr>
          <w:rFonts w:ascii="David" w:hAnsi="David"/>
          <w:rtl/>
        </w:rPr>
      </w:pPr>
    </w:p>
    <w:p w:rsidR="001417C6" w:rsidRPr="00E10C9D" w:rsidRDefault="001417C6" w:rsidP="001417C6">
      <w:pPr>
        <w:spacing w:line="360" w:lineRule="auto"/>
        <w:ind w:left="714" w:hanging="630"/>
        <w:jc w:val="both"/>
        <w:rPr>
          <w:rFonts w:ascii="David" w:hAnsi="David"/>
          <w:rtl/>
        </w:rPr>
      </w:pPr>
      <w:r w:rsidRPr="00E10C9D">
        <w:rPr>
          <w:rFonts w:ascii="David" w:hAnsi="David"/>
          <w:rtl/>
        </w:rPr>
        <w:t>19.</w:t>
      </w:r>
      <w:r w:rsidRPr="00E10C9D">
        <w:rPr>
          <w:rFonts w:ascii="David" w:hAnsi="David"/>
          <w:rtl/>
        </w:rPr>
        <w:tab/>
        <w:t>סעיף 1 לחוק מגדיר מה היא לשון הרע וקובע שמדובר בדבר שפרסומו עלול:</w:t>
      </w:r>
    </w:p>
    <w:p w:rsidR="001417C6" w:rsidRPr="00E10C9D" w:rsidRDefault="001417C6" w:rsidP="001417C6">
      <w:pPr>
        <w:spacing w:line="360" w:lineRule="auto"/>
        <w:ind w:left="714" w:hanging="630"/>
        <w:jc w:val="both"/>
        <w:rPr>
          <w:rFonts w:ascii="David" w:hAnsi="David"/>
          <w:rtl/>
        </w:rPr>
      </w:pPr>
    </w:p>
    <w:p w:rsidR="001417C6" w:rsidRPr="00E10C9D" w:rsidRDefault="001417C6" w:rsidP="001417C6">
      <w:pPr>
        <w:widowControl w:val="0"/>
        <w:tabs>
          <w:tab w:val="left" w:pos="720"/>
          <w:tab w:val="left" w:pos="1474"/>
          <w:tab w:val="left" w:pos="1928"/>
          <w:tab w:val="left" w:pos="2381"/>
          <w:tab w:val="left" w:pos="2835"/>
          <w:tab w:val="right" w:leader="dot" w:pos="6259"/>
        </w:tabs>
        <w:suppressAutoHyphens/>
        <w:autoSpaceDE w:val="0"/>
        <w:autoSpaceDN w:val="0"/>
        <w:spacing w:before="72" w:line="360" w:lineRule="auto"/>
        <w:ind w:left="793"/>
        <w:jc w:val="both"/>
        <w:rPr>
          <w:rFonts w:ascii="David" w:hAnsi="David"/>
          <w:b/>
          <w:bCs/>
          <w:rtl/>
          <w:lang w:eastAsia="he-IL"/>
        </w:rPr>
      </w:pPr>
      <w:r w:rsidRPr="00E10C9D">
        <w:rPr>
          <w:rFonts w:ascii="David" w:hAnsi="David"/>
          <w:rtl/>
          <w:lang w:eastAsia="he-IL"/>
        </w:rPr>
        <w:t>"</w:t>
      </w:r>
      <w:r w:rsidRPr="00E10C9D">
        <w:rPr>
          <w:rFonts w:ascii="David" w:hAnsi="David"/>
          <w:b/>
          <w:bCs/>
          <w:rtl/>
          <w:lang w:eastAsia="he-IL"/>
        </w:rPr>
        <w:t xml:space="preserve"> (1)</w:t>
      </w:r>
      <w:r w:rsidRPr="00E10C9D">
        <w:rPr>
          <w:rFonts w:ascii="David" w:hAnsi="David"/>
          <w:b/>
          <w:bCs/>
          <w:rtl/>
          <w:lang w:eastAsia="he-IL"/>
        </w:rPr>
        <w:tab/>
        <w:t>להשפיל אדם בעיני הבריות או לעשותו מטרה לשנאה, לבוז או ללעג מצדם;</w:t>
      </w:r>
    </w:p>
    <w:p w:rsidR="001417C6" w:rsidRPr="00E10C9D" w:rsidRDefault="001417C6" w:rsidP="001417C6">
      <w:pPr>
        <w:widowControl w:val="0"/>
        <w:tabs>
          <w:tab w:val="left" w:pos="1474"/>
          <w:tab w:val="left" w:pos="1928"/>
          <w:tab w:val="left" w:pos="2381"/>
          <w:tab w:val="left" w:pos="2835"/>
          <w:tab w:val="right" w:leader="dot" w:pos="6259"/>
        </w:tabs>
        <w:suppressAutoHyphens/>
        <w:autoSpaceDE w:val="0"/>
        <w:autoSpaceDN w:val="0"/>
        <w:spacing w:before="72" w:line="360" w:lineRule="auto"/>
        <w:ind w:left="1021" w:right="1134"/>
        <w:jc w:val="both"/>
        <w:rPr>
          <w:rFonts w:ascii="David" w:hAnsi="David"/>
          <w:b/>
          <w:bCs/>
          <w:rtl/>
          <w:lang w:eastAsia="he-IL"/>
        </w:rPr>
      </w:pPr>
      <w:r w:rsidRPr="00E10C9D">
        <w:rPr>
          <w:rFonts w:ascii="David" w:hAnsi="David"/>
          <w:b/>
          <w:bCs/>
          <w:rtl/>
          <w:lang w:eastAsia="he-IL"/>
        </w:rPr>
        <w:t>(2)</w:t>
      </w:r>
      <w:r w:rsidRPr="00E10C9D">
        <w:rPr>
          <w:rFonts w:ascii="David" w:hAnsi="David"/>
          <w:b/>
          <w:bCs/>
          <w:rtl/>
          <w:lang w:eastAsia="he-IL"/>
        </w:rPr>
        <w:tab/>
        <w:t>לבזות אדם בשל מעשים, התנהגות או תכונות המיוחסים לו;</w:t>
      </w:r>
    </w:p>
    <w:p w:rsidR="001417C6" w:rsidRPr="00E10C9D" w:rsidRDefault="001417C6" w:rsidP="001417C6">
      <w:pPr>
        <w:spacing w:line="360" w:lineRule="auto"/>
        <w:ind w:left="1440" w:hanging="419"/>
        <w:jc w:val="both"/>
        <w:rPr>
          <w:rFonts w:ascii="David" w:hAnsi="David"/>
          <w:b/>
          <w:bCs/>
          <w:rtl/>
        </w:rPr>
      </w:pPr>
      <w:r w:rsidRPr="00E10C9D">
        <w:rPr>
          <w:rFonts w:ascii="David" w:hAnsi="David"/>
          <w:b/>
          <w:bCs/>
          <w:rtl/>
        </w:rPr>
        <w:t>(3)</w:t>
      </w:r>
      <w:r w:rsidRPr="00E10C9D">
        <w:rPr>
          <w:rFonts w:ascii="David" w:hAnsi="David"/>
          <w:b/>
          <w:bCs/>
          <w:rtl/>
        </w:rPr>
        <w:tab/>
        <w:t>לפגוע באדם במשרתו, אם משרה ציבורית ואם משרה אחרת, בעסקו, במשלח ידו או במקצוע ולבזות אדם בשל גזעו, מוצאו, דתו, מקום מגוריו, גילו, מינו, נטייתו המינית או מוגבלותו;</w:t>
      </w:r>
      <w:r w:rsidRPr="00E10C9D">
        <w:rPr>
          <w:rFonts w:ascii="David" w:hAnsi="David"/>
          <w:rtl/>
        </w:rPr>
        <w:t>"</w:t>
      </w:r>
    </w:p>
    <w:p w:rsidR="001417C6" w:rsidRPr="00E10C9D" w:rsidRDefault="001417C6" w:rsidP="001417C6">
      <w:pPr>
        <w:spacing w:line="360" w:lineRule="auto"/>
        <w:ind w:left="1440" w:hanging="419"/>
        <w:jc w:val="both"/>
        <w:rPr>
          <w:rFonts w:ascii="David" w:hAnsi="David"/>
          <w:b/>
          <w:bCs/>
          <w:rtl/>
        </w:rPr>
      </w:pPr>
    </w:p>
    <w:p w:rsidR="001417C6" w:rsidRPr="00E10C9D" w:rsidRDefault="001417C6" w:rsidP="001417C6">
      <w:pPr>
        <w:spacing w:line="360" w:lineRule="auto"/>
        <w:ind w:left="1440" w:hanging="789"/>
        <w:jc w:val="both"/>
        <w:rPr>
          <w:rFonts w:ascii="David" w:hAnsi="David"/>
          <w:rtl/>
        </w:rPr>
      </w:pPr>
      <w:r w:rsidRPr="00E10C9D">
        <w:rPr>
          <w:rFonts w:ascii="David" w:hAnsi="David"/>
          <w:rtl/>
        </w:rPr>
        <w:t>סעיף 2 לחוק מגדיר מהו פרסום וקובע ש:</w:t>
      </w:r>
    </w:p>
    <w:p w:rsidR="001417C6" w:rsidRPr="00E10C9D" w:rsidRDefault="001417C6" w:rsidP="001417C6">
      <w:pPr>
        <w:spacing w:line="360" w:lineRule="auto"/>
        <w:ind w:left="1440" w:hanging="789"/>
        <w:jc w:val="both"/>
        <w:rPr>
          <w:rFonts w:ascii="David" w:hAnsi="David"/>
          <w:rtl/>
        </w:rPr>
      </w:pPr>
    </w:p>
    <w:p w:rsidR="001417C6" w:rsidRPr="00E10C9D" w:rsidRDefault="001417C6" w:rsidP="001417C6">
      <w:pPr>
        <w:widowControl w:val="0"/>
        <w:tabs>
          <w:tab w:val="left" w:pos="624"/>
          <w:tab w:val="left" w:pos="1021"/>
          <w:tab w:val="left" w:pos="1928"/>
          <w:tab w:val="left" w:pos="2381"/>
          <w:tab w:val="left" w:pos="2835"/>
          <w:tab w:val="right" w:leader="dot" w:pos="6259"/>
        </w:tabs>
        <w:suppressAutoHyphens/>
        <w:autoSpaceDE w:val="0"/>
        <w:autoSpaceDN w:val="0"/>
        <w:spacing w:before="72" w:line="360" w:lineRule="auto"/>
        <w:ind w:left="793" w:hanging="1440"/>
        <w:jc w:val="both"/>
        <w:rPr>
          <w:rFonts w:ascii="David" w:hAnsi="David"/>
          <w:b/>
          <w:bCs/>
          <w:rtl/>
          <w:lang w:eastAsia="he-IL"/>
        </w:rPr>
      </w:pPr>
      <w:r w:rsidRPr="00E10C9D">
        <w:rPr>
          <w:rFonts w:ascii="David" w:hAnsi="David"/>
          <w:rtl/>
          <w:lang w:eastAsia="he-IL"/>
        </w:rPr>
        <w:tab/>
        <w:t>"</w:t>
      </w:r>
      <w:r w:rsidRPr="00E10C9D">
        <w:rPr>
          <w:rFonts w:ascii="David" w:hAnsi="David"/>
          <w:b/>
          <w:bCs/>
          <w:rtl/>
          <w:lang w:eastAsia="he-IL"/>
        </w:rPr>
        <w:t>(א)</w:t>
      </w:r>
      <w:r w:rsidRPr="00E10C9D">
        <w:rPr>
          <w:rFonts w:ascii="David" w:hAnsi="David"/>
          <w:b/>
          <w:bCs/>
          <w:rtl/>
          <w:lang w:eastAsia="he-IL"/>
        </w:rPr>
        <w:tab/>
        <w:t>פרסום, לענין לשון הרע - בין בעל פה ובין בכתב או בדפוס, לרבות ציור, דמות, תנועה, צליל וכל אמצעי אחר.</w:t>
      </w:r>
    </w:p>
    <w:p w:rsidR="001417C6" w:rsidRPr="00E10C9D" w:rsidRDefault="001417C6" w:rsidP="001417C6">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jc w:val="both"/>
        <w:rPr>
          <w:rFonts w:ascii="David" w:hAnsi="David"/>
          <w:b/>
          <w:bCs/>
          <w:rtl/>
          <w:lang w:eastAsia="he-IL"/>
        </w:rPr>
      </w:pPr>
      <w:r w:rsidRPr="00E10C9D">
        <w:rPr>
          <w:rFonts w:ascii="David" w:hAnsi="David"/>
          <w:b/>
          <w:bCs/>
          <w:rtl/>
          <w:lang w:eastAsia="he-IL"/>
        </w:rPr>
        <w:tab/>
        <w:t xml:space="preserve"> (ב)</w:t>
      </w:r>
      <w:r w:rsidRPr="00E10C9D">
        <w:rPr>
          <w:rFonts w:ascii="David" w:hAnsi="David"/>
          <w:b/>
          <w:bCs/>
          <w:rtl/>
          <w:lang w:eastAsia="he-IL"/>
        </w:rPr>
        <w:tab/>
      </w:r>
      <w:r w:rsidRPr="00E10C9D">
        <w:rPr>
          <w:rFonts w:ascii="David" w:hAnsi="David"/>
          <w:b/>
          <w:bCs/>
          <w:rtl/>
          <w:lang w:eastAsia="he-IL"/>
        </w:rPr>
        <w:tab/>
        <w:t>רואים כפרסום לשון הרע, בלי למעט מדרכי פרסום אחרות:</w:t>
      </w:r>
    </w:p>
    <w:p w:rsidR="001417C6" w:rsidRPr="00E10C9D" w:rsidRDefault="001417C6" w:rsidP="001417C6">
      <w:pPr>
        <w:widowControl w:val="0"/>
        <w:tabs>
          <w:tab w:val="left" w:pos="1474"/>
          <w:tab w:val="left" w:pos="1928"/>
          <w:tab w:val="left" w:pos="2381"/>
          <w:tab w:val="left" w:pos="2835"/>
          <w:tab w:val="right" w:leader="dot" w:pos="6259"/>
        </w:tabs>
        <w:suppressAutoHyphens/>
        <w:autoSpaceDE w:val="0"/>
        <w:autoSpaceDN w:val="0"/>
        <w:spacing w:before="72" w:line="360" w:lineRule="auto"/>
        <w:ind w:left="1928" w:hanging="907"/>
        <w:jc w:val="both"/>
        <w:rPr>
          <w:rFonts w:ascii="David" w:hAnsi="David"/>
          <w:b/>
          <w:bCs/>
          <w:rtl/>
          <w:lang w:eastAsia="he-IL"/>
        </w:rPr>
      </w:pPr>
      <w:r w:rsidRPr="00E10C9D">
        <w:rPr>
          <w:rFonts w:ascii="David" w:hAnsi="David"/>
          <w:b/>
          <w:bCs/>
          <w:rtl/>
          <w:lang w:eastAsia="he-IL"/>
        </w:rPr>
        <w:tab/>
        <w:t>(1)</w:t>
      </w:r>
      <w:r w:rsidRPr="00E10C9D">
        <w:rPr>
          <w:rFonts w:ascii="David" w:hAnsi="David"/>
          <w:b/>
          <w:bCs/>
          <w:rtl/>
          <w:lang w:eastAsia="he-IL"/>
        </w:rPr>
        <w:tab/>
        <w:t>אם היתה מיועדת לאדם זולת הנפגע והגיעה לאותו אדם או לאדם אחר זולת הנפגע;</w:t>
      </w:r>
    </w:p>
    <w:p w:rsidR="001417C6" w:rsidRPr="00E10C9D" w:rsidRDefault="001417C6" w:rsidP="001417C6">
      <w:pPr>
        <w:widowControl w:val="0"/>
        <w:tabs>
          <w:tab w:val="left" w:pos="1474"/>
          <w:tab w:val="left" w:pos="1928"/>
          <w:tab w:val="left" w:pos="2381"/>
          <w:tab w:val="left" w:pos="2835"/>
          <w:tab w:val="right" w:leader="dot" w:pos="6259"/>
        </w:tabs>
        <w:suppressAutoHyphens/>
        <w:autoSpaceDE w:val="0"/>
        <w:autoSpaceDN w:val="0"/>
        <w:spacing w:before="72" w:line="360" w:lineRule="auto"/>
        <w:ind w:left="1021"/>
        <w:jc w:val="both"/>
        <w:rPr>
          <w:rFonts w:ascii="David" w:hAnsi="David"/>
          <w:rtl/>
          <w:lang w:eastAsia="he-IL"/>
        </w:rPr>
      </w:pPr>
      <w:r w:rsidRPr="00E10C9D">
        <w:rPr>
          <w:rFonts w:ascii="David" w:hAnsi="David"/>
          <w:b/>
          <w:bCs/>
          <w:rtl/>
          <w:lang w:eastAsia="he-IL"/>
        </w:rPr>
        <w:tab/>
        <w:t>(2)</w:t>
      </w:r>
      <w:r w:rsidRPr="00E10C9D">
        <w:rPr>
          <w:rFonts w:ascii="David" w:hAnsi="David"/>
          <w:b/>
          <w:bCs/>
          <w:rtl/>
          <w:lang w:eastAsia="he-IL"/>
        </w:rPr>
        <w:tab/>
        <w:t>אם היתה בכתב והכתב עשוי היה, לפי הנסיבות להגיע לאדם זולת הנפגע.</w:t>
      </w:r>
      <w:r w:rsidRPr="00E10C9D">
        <w:rPr>
          <w:rFonts w:ascii="David" w:hAnsi="David"/>
          <w:rtl/>
          <w:lang w:eastAsia="he-IL"/>
        </w:rPr>
        <w:t>"</w:t>
      </w:r>
    </w:p>
    <w:p w:rsidR="001417C6" w:rsidRPr="00E10C9D" w:rsidRDefault="001417C6" w:rsidP="001417C6">
      <w:pPr>
        <w:widowControl w:val="0"/>
        <w:tabs>
          <w:tab w:val="left" w:pos="1474"/>
          <w:tab w:val="left" w:pos="1928"/>
          <w:tab w:val="left" w:pos="2381"/>
          <w:tab w:val="left" w:pos="2835"/>
          <w:tab w:val="right" w:leader="dot" w:pos="6259"/>
        </w:tabs>
        <w:suppressAutoHyphens/>
        <w:autoSpaceDE w:val="0"/>
        <w:autoSpaceDN w:val="0"/>
        <w:spacing w:before="72" w:line="360" w:lineRule="auto"/>
        <w:ind w:left="1021"/>
        <w:jc w:val="both"/>
        <w:rPr>
          <w:rFonts w:ascii="David" w:hAnsi="David"/>
          <w:rtl/>
          <w:lang w:eastAsia="he-IL"/>
        </w:rPr>
      </w:pPr>
    </w:p>
    <w:p w:rsidR="001417C6" w:rsidRPr="00E10C9D" w:rsidRDefault="001417C6" w:rsidP="001417C6">
      <w:pPr>
        <w:widowControl w:val="0"/>
        <w:tabs>
          <w:tab w:val="left" w:pos="720"/>
          <w:tab w:val="left" w:pos="1474"/>
          <w:tab w:val="left" w:pos="1928"/>
          <w:tab w:val="left" w:pos="2381"/>
          <w:tab w:val="left" w:pos="2835"/>
          <w:tab w:val="right" w:leader="dot" w:pos="6259"/>
        </w:tabs>
        <w:suppressAutoHyphens/>
        <w:autoSpaceDE w:val="0"/>
        <w:autoSpaceDN w:val="0"/>
        <w:spacing w:before="72" w:line="360" w:lineRule="auto"/>
        <w:ind w:left="714" w:hanging="630"/>
        <w:jc w:val="both"/>
        <w:rPr>
          <w:rFonts w:ascii="David" w:hAnsi="David"/>
          <w:rtl/>
          <w:lang w:eastAsia="he-IL"/>
        </w:rPr>
      </w:pPr>
      <w:r w:rsidRPr="00E10C9D">
        <w:rPr>
          <w:rFonts w:ascii="David" w:hAnsi="David"/>
          <w:rtl/>
          <w:lang w:eastAsia="he-IL"/>
        </w:rPr>
        <w:t>20.</w:t>
      </w:r>
      <w:r w:rsidRPr="00E10C9D">
        <w:rPr>
          <w:rFonts w:ascii="David" w:hAnsi="David"/>
          <w:rtl/>
          <w:lang w:eastAsia="he-IL"/>
        </w:rPr>
        <w:tab/>
        <w:t>זכותו של אדם לשמו הטוב  זכתה להכרה בשיטת המשפט הישראלית כבר מראשיתה. זכות זו עיגונה עוד במקורותינו בתפיסת קהלת שראה להדגיש ש"</w:t>
      </w:r>
      <w:r w:rsidRPr="00E10C9D">
        <w:rPr>
          <w:rFonts w:ascii="David" w:hAnsi="David"/>
          <w:b/>
          <w:bCs/>
          <w:rtl/>
          <w:lang w:eastAsia="he-IL"/>
        </w:rPr>
        <w:t>טוב שם טוב משמן טוב</w:t>
      </w:r>
      <w:r w:rsidRPr="00E10C9D">
        <w:rPr>
          <w:rFonts w:ascii="David" w:hAnsi="David"/>
          <w:rtl/>
          <w:lang w:eastAsia="he-IL"/>
        </w:rPr>
        <w:t>" (קהלת, ז'  א').  זכות זו הוכרה בשיטתנו כבר מתחילת דרכה. זכות זו קיבלה ביטויה באחד מפסקי הדין הראשונים שניתנו בבית המשפט העליון בפרשת בנטוב שם נקבע ש</w:t>
      </w:r>
      <w:r w:rsidRPr="00E10C9D">
        <w:rPr>
          <w:rFonts w:ascii="David" w:hAnsi="David"/>
          <w:b/>
          <w:bCs/>
          <w:rtl/>
          <w:lang w:eastAsia="he-IL"/>
        </w:rPr>
        <w:t>"כל עוד קיים חוק המכיר בזכותו של אדם ששמו הטוב לא יוכתם, הרי הציבור כולו מעוניין בכך שזכות זו תכובד ולא תפגע"</w:t>
      </w:r>
      <w:r w:rsidRPr="00E10C9D">
        <w:rPr>
          <w:rFonts w:ascii="David" w:hAnsi="David"/>
          <w:rtl/>
          <w:lang w:eastAsia="he-IL"/>
        </w:rPr>
        <w:t xml:space="preserve"> </w:t>
      </w:r>
      <w:r w:rsidRPr="00E10C9D">
        <w:rPr>
          <w:rFonts w:ascii="David" w:hAnsi="David"/>
          <w:u w:val="single"/>
          <w:rtl/>
          <w:lang w:eastAsia="he-IL"/>
        </w:rPr>
        <w:t>(ע"א 90/49</w:t>
      </w:r>
      <w:r w:rsidRPr="00E10C9D">
        <w:rPr>
          <w:rFonts w:ascii="David" w:hAnsi="David"/>
          <w:rtl/>
          <w:lang w:eastAsia="he-IL"/>
        </w:rPr>
        <w:t xml:space="preserve"> </w:t>
      </w:r>
      <w:r w:rsidRPr="00E10C9D">
        <w:rPr>
          <w:rFonts w:ascii="David" w:hAnsi="David"/>
          <w:b/>
          <w:bCs/>
          <w:rtl/>
          <w:lang w:eastAsia="he-IL"/>
        </w:rPr>
        <w:t xml:space="preserve">מרדכי בנטוב נ' יעקב קוטיק, </w:t>
      </w:r>
      <w:r w:rsidRPr="00E10C9D">
        <w:rPr>
          <w:rFonts w:ascii="David" w:hAnsi="David"/>
          <w:rtl/>
          <w:lang w:eastAsia="he-IL"/>
        </w:rPr>
        <w:t xml:space="preserve">פ"ד ה' 593 (30/1/1951) עמ' 597).  </w:t>
      </w:r>
    </w:p>
    <w:p w:rsidR="001417C6" w:rsidRPr="00E10C9D" w:rsidRDefault="001417C6" w:rsidP="001417C6">
      <w:pPr>
        <w:spacing w:line="360" w:lineRule="auto"/>
        <w:ind w:left="720" w:hanging="720"/>
        <w:jc w:val="both"/>
        <w:rPr>
          <w:rFonts w:ascii="David" w:hAnsi="David"/>
          <w:rtl/>
        </w:rPr>
      </w:pPr>
      <w:r w:rsidRPr="00E10C9D">
        <w:rPr>
          <w:rFonts w:ascii="David" w:hAnsi="David"/>
          <w:rtl/>
        </w:rPr>
        <w:t xml:space="preserve"> </w:t>
      </w:r>
      <w:r w:rsidRPr="00E10C9D">
        <w:rPr>
          <w:rFonts w:ascii="David" w:hAnsi="David"/>
          <w:rtl/>
        </w:rPr>
        <w:tab/>
        <w:t>"</w:t>
      </w:r>
      <w:r w:rsidRPr="00E10C9D">
        <w:rPr>
          <w:rFonts w:ascii="David" w:hAnsi="David"/>
          <w:b/>
          <w:bCs/>
          <w:u w:val="single"/>
          <w:rtl/>
        </w:rPr>
        <w:t>חוק איסור לשון הרע</w:t>
      </w:r>
      <w:r w:rsidRPr="00E10C9D">
        <w:rPr>
          <w:rFonts w:ascii="David" w:hAnsi="David"/>
          <w:b/>
          <w:bCs/>
          <w:rtl/>
        </w:rPr>
        <w:t xml:space="preserve"> משקף את האיזון שאותו קבע המחוקק בין זכות היסוד לחופש הביטוי לבין זכות היסוד לשם טוב. הגנה על שמו הטוב של הנפגע מעוגנת באיסור על פרסום לשון הרע ובקביעה כי במקרים מסוימים תהא בלשון הרע משום עבירה פלילית </w:t>
      </w:r>
      <w:r w:rsidRPr="00E10C9D">
        <w:rPr>
          <w:rFonts w:ascii="David" w:hAnsi="David"/>
          <w:b/>
          <w:bCs/>
          <w:rtl/>
        </w:rPr>
        <w:lastRenderedPageBreak/>
        <w:t>או עוולה אזרחית. בה בעת נדרש החוק שבא להגן מפני לשון הרע גם לצורך להבטיח את חופש הביטוי, והדבר בא לכלל ביטוי ברשימת ההגנות וברשימת הפרסומים המותרים המנויים בפרק ג' לחוק</w:t>
      </w:r>
      <w:r w:rsidRPr="00E10C9D">
        <w:rPr>
          <w:rFonts w:ascii="David" w:hAnsi="David"/>
          <w:rtl/>
        </w:rPr>
        <w:t>...</w:t>
      </w:r>
      <w:r w:rsidRPr="00E10C9D">
        <w:rPr>
          <w:rFonts w:ascii="David" w:hAnsi="David"/>
          <w:b/>
          <w:bCs/>
          <w:rtl/>
        </w:rPr>
        <w:t>"(</w:t>
      </w:r>
      <w:r w:rsidRPr="00E10C9D">
        <w:rPr>
          <w:rFonts w:ascii="David" w:hAnsi="David"/>
          <w:rtl/>
        </w:rPr>
        <w:t xml:space="preserve"> </w:t>
      </w:r>
      <w:r w:rsidRPr="00E10C9D">
        <w:rPr>
          <w:rFonts w:ascii="David" w:hAnsi="David"/>
          <w:u w:val="single"/>
          <w:rtl/>
        </w:rPr>
        <w:t>ע"א 751/10</w:t>
      </w:r>
      <w:r w:rsidRPr="00E10C9D">
        <w:rPr>
          <w:rFonts w:ascii="David" w:hAnsi="David"/>
          <w:rtl/>
        </w:rPr>
        <w:t xml:space="preserve"> </w:t>
      </w:r>
      <w:r w:rsidRPr="00E10C9D">
        <w:rPr>
          <w:rFonts w:ascii="David" w:hAnsi="David"/>
          <w:b/>
          <w:bCs/>
          <w:rtl/>
        </w:rPr>
        <w:t>פלוני נ' ד"ר אילנה דיין-אורבך</w:t>
      </w:r>
      <w:r w:rsidRPr="00E10C9D">
        <w:rPr>
          <w:rFonts w:ascii="David" w:hAnsi="David"/>
          <w:rtl/>
        </w:rPr>
        <w:t xml:space="preserve"> (8/2/2012) (להלן: </w:t>
      </w:r>
      <w:r w:rsidRPr="00E10C9D">
        <w:rPr>
          <w:rFonts w:ascii="David" w:hAnsi="David"/>
          <w:b/>
          <w:bCs/>
          <w:rtl/>
        </w:rPr>
        <w:t>עניין אילנה דיין</w:t>
      </w:r>
      <w:r w:rsidRPr="00E10C9D">
        <w:rPr>
          <w:rFonts w:ascii="David" w:hAnsi="David"/>
          <w:rtl/>
        </w:rPr>
        <w:t>) ס' 76 לפסק דינו של כב' השופט ריבלין).</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 xml:space="preserve">נקבע ש </w:t>
      </w:r>
      <w:r w:rsidRPr="00E10C9D">
        <w:rPr>
          <w:rFonts w:ascii="David" w:hAnsi="David"/>
          <w:b/>
          <w:bCs/>
          <w:rtl/>
        </w:rPr>
        <w:t>"בית משפט זה קבע משכבר הימים, כי כבוד האדם חובק אגד רחב של זכויות, ובין היתר, תוך ניואנסים שלא זה המקום להידרש אליהם, הזכות לשויון, הזכות לחופש דת ולחופש מדת, הזכות לחופש ביטוי, הזכות לשם טוב והזכות לחיי משפחה (א' ברק הזכות החוקתית ובנותיה פרק 13 (תשע"ד)). בחוקי היסוד לא הוכרו זכויות חברתיות מפורשות, ובתי המשפט גם הם נמנעו מקביעה חד משמעית, כי חובת השלטון לכבד זכויות חברתיות (ב' מדינה דיני זכויות האדם בישראל 753 (תשע"ז)); ברם נקבע, ואולי זה העיקר, כי הזכות לכבוד כוללת גם זכות לקיום בסיסי בכבוד</w:t>
      </w:r>
      <w:r w:rsidRPr="00E10C9D">
        <w:rPr>
          <w:rFonts w:ascii="David" w:hAnsi="David"/>
          <w:rtl/>
        </w:rPr>
        <w:t>". (</w:t>
      </w:r>
      <w:r w:rsidRPr="00E10C9D">
        <w:rPr>
          <w:rFonts w:ascii="David" w:hAnsi="David"/>
          <w:u w:val="single"/>
          <w:rtl/>
        </w:rPr>
        <w:t>בג"צ 1892/14</w:t>
      </w:r>
      <w:r w:rsidRPr="00E10C9D">
        <w:rPr>
          <w:rFonts w:ascii="David" w:hAnsi="David"/>
          <w:rtl/>
        </w:rPr>
        <w:t xml:space="preserve"> </w:t>
      </w:r>
      <w:r w:rsidRPr="00E10C9D">
        <w:rPr>
          <w:rFonts w:ascii="David" w:hAnsi="David"/>
          <w:b/>
          <w:bCs/>
          <w:rtl/>
        </w:rPr>
        <w:t>האגודה</w:t>
      </w:r>
      <w:r w:rsidRPr="00E10C9D">
        <w:rPr>
          <w:rFonts w:ascii="David" w:hAnsi="David"/>
          <w:rtl/>
        </w:rPr>
        <w:t xml:space="preserve"> </w:t>
      </w:r>
      <w:r w:rsidRPr="00E10C9D">
        <w:rPr>
          <w:rFonts w:ascii="David" w:hAnsi="David"/>
          <w:b/>
          <w:bCs/>
          <w:rtl/>
        </w:rPr>
        <w:t>לזכויות האזרח בישראל ואח' נ' השר לבטחון  פנים ואח'</w:t>
      </w:r>
      <w:r w:rsidRPr="00E10C9D">
        <w:rPr>
          <w:rFonts w:ascii="David" w:hAnsi="David"/>
          <w:rtl/>
        </w:rPr>
        <w:t xml:space="preserve"> (13/6/2017)ס' ל"ז).</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גם המשפט העברי רואה בלשון הרע איסור חמור "</w:t>
      </w:r>
      <w:r w:rsidRPr="00E10C9D">
        <w:rPr>
          <w:rFonts w:ascii="David" w:hAnsi="David"/>
          <w:b/>
          <w:bCs/>
          <w:rtl/>
        </w:rPr>
        <w:t xml:space="preserve">השם הטוב לעניין כבוד האדם הוא הפשט; חופש הביטוי הוא הדרש" בהתחשב בכתבו ורוחו של חוק יסוד: כבוד האדם וחירותו. הדברים מתעצמים כשעסקינן בביוש, ממגפות דורנו. הגם שעמדת היסוד של המשפט העברי היתה שאין עונשים על ביוש בהיותו לאו שאין בו מעשה, גבר הצורך החברתי והאנושי, </w:t>
      </w:r>
      <w:r w:rsidRPr="00E10C9D">
        <w:rPr>
          <w:rFonts w:ascii="David" w:hAnsi="David"/>
          <w:rtl/>
        </w:rPr>
        <w:t xml:space="preserve">... </w:t>
      </w:r>
      <w:r w:rsidRPr="00E10C9D">
        <w:rPr>
          <w:rFonts w:ascii="David" w:hAnsi="David"/>
          <w:b/>
          <w:bCs/>
          <w:rtl/>
        </w:rPr>
        <w:t xml:space="preserve">שהביאה לפסיקת </w:t>
      </w:r>
      <w:r w:rsidRPr="00E10C9D">
        <w:rPr>
          <w:rFonts w:ascii="David" w:hAnsi="David"/>
          <w:rtl/>
        </w:rPr>
        <w:t>...</w:t>
      </w:r>
      <w:r w:rsidRPr="00E10C9D">
        <w:rPr>
          <w:rFonts w:ascii="David" w:hAnsi="David"/>
          <w:b/>
          <w:bCs/>
          <w:rtl/>
        </w:rPr>
        <w:t xml:space="preserve"> "המבייש בדברים מנדין אותו עד שיפייסנו על פי כבודו" (אליקים רובינשטיין "להרחיב גבול הצדקה והמישרים</w:t>
      </w:r>
      <w:r w:rsidRPr="00E10C9D">
        <w:rPr>
          <w:rFonts w:ascii="David" w:hAnsi="David"/>
          <w:rtl/>
        </w:rPr>
        <w:t xml:space="preserve">" </w:t>
      </w:r>
      <w:r w:rsidRPr="00E10C9D">
        <w:rPr>
          <w:rFonts w:ascii="David" w:hAnsi="David"/>
          <w:b/>
          <w:bCs/>
          <w:u w:val="single"/>
          <w:rtl/>
        </w:rPr>
        <w:t>הארץ</w:t>
      </w:r>
      <w:r w:rsidRPr="00E10C9D">
        <w:rPr>
          <w:rFonts w:ascii="David" w:hAnsi="David"/>
          <w:rtl/>
        </w:rPr>
        <w:t xml:space="preserve"> (תרבות וספרות) (13/3/2020) עמ' 4) (נחום רקובר "</w:t>
      </w:r>
      <w:r w:rsidRPr="00E10C9D">
        <w:rPr>
          <w:rFonts w:ascii="David" w:hAnsi="David"/>
          <w:b/>
          <w:bCs/>
          <w:rtl/>
        </w:rPr>
        <w:t>על לשון הרע ועל הענישה עליה במשפט העברי</w:t>
      </w:r>
      <w:r w:rsidRPr="00E10C9D">
        <w:rPr>
          <w:rFonts w:ascii="David" w:hAnsi="David"/>
          <w:rtl/>
        </w:rPr>
        <w:t xml:space="preserve">" </w:t>
      </w:r>
      <w:r w:rsidRPr="00E10C9D">
        <w:rPr>
          <w:rFonts w:ascii="David" w:hAnsi="David"/>
          <w:u w:val="single"/>
          <w:rtl/>
        </w:rPr>
        <w:t>סיני</w:t>
      </w:r>
      <w:r w:rsidRPr="00E10C9D">
        <w:rPr>
          <w:rFonts w:ascii="David" w:hAnsi="David"/>
          <w:rtl/>
        </w:rPr>
        <w:t xml:space="preserve"> (תשכ"ב).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בסעיף 6 לפסק דינו של כבוד השופט עמית בעניין אילנה דיין הוא הניח "תרשים זרימה" בתביעת לשון הרע על פיו בשלב ראשון יש לבחון האם הביטוי מהווה לשון הרע על פי לשון סעיף 1 לחוק. השלב השני הוא בדיקה האם מתקיים יסוד הפרסום המוגדר בסעיף 2 לחוק.  בהמשך יש לבחון האם 'נהנה' הפרסום מאחד החסיונות המוחלטים שבסעיף 13 לחוק. ככל שעל הפרסום לא חל אחד מהחסיונות, כאמור, תבחן ההגנה של אמת בפרסום ואינטרס ציבורי על פי סעיף 14 לחוק. אם הפרסום אינו חוסה תחת ההגנה שבסעיף 14 לחוק יבחן תום ליבו של המפרסם במסגרת החלופות שבסעיף 15 לחוק. ככל שנתיב זה לא הביא ל'הכשרתו' של הפרסום והוא אינו חוסה בצלה של ההגנה הקבועה בסעיפים 14 ו-15 לחוק עוברת הבחינה לשלב הסעד. (עניין אילנה דיין סעיף 6 לפסק דינו של כב' השופט עמית).</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 xml:space="preserve"> </w:t>
      </w:r>
      <w:r w:rsidRPr="00E10C9D">
        <w:rPr>
          <w:rFonts w:ascii="David" w:hAnsi="David"/>
          <w:rtl/>
        </w:rPr>
        <w:tab/>
        <w:t>עוד קבע כבוד השופט עמית בהקשר זה ש"</w:t>
      </w:r>
      <w:r w:rsidRPr="00E10C9D">
        <w:rPr>
          <w:rFonts w:ascii="David" w:hAnsi="David"/>
          <w:b/>
          <w:bCs/>
          <w:rtl/>
        </w:rPr>
        <w:t>בחינת כל אחד מהשלבים לא נעשית באופן "סטרילי" במנותק מהשלבים האחרים"</w:t>
      </w:r>
      <w:r w:rsidRPr="00E10C9D">
        <w:rPr>
          <w:rFonts w:ascii="David" w:hAnsi="David"/>
          <w:rtl/>
        </w:rPr>
        <w:t xml:space="preserve"> </w:t>
      </w:r>
      <w:r w:rsidRPr="00E10C9D">
        <w:rPr>
          <w:rFonts w:ascii="David" w:hAnsi="David"/>
          <w:b/>
          <w:bCs/>
          <w:rtl/>
        </w:rPr>
        <w:t>ושניתן לומר שיש "מקבילית כוחות" בין השלבים השונים – ככל שהביטוי או הפרסום הפוגע הוא עוצמתי יותר, כך יידרש יותר בשלב ההגנות הקבועות בסעיף 14 – 15 לחוק</w:t>
      </w:r>
      <w:r w:rsidRPr="00E10C9D">
        <w:rPr>
          <w:rFonts w:ascii="David" w:hAnsi="David"/>
          <w:rtl/>
        </w:rPr>
        <w:t xml:space="preserve"> </w:t>
      </w:r>
      <w:r w:rsidRPr="00E10C9D">
        <w:rPr>
          <w:rFonts w:ascii="David" w:hAnsi="David"/>
          <w:b/>
          <w:bCs/>
          <w:rtl/>
        </w:rPr>
        <w:t>ולהיפך</w:t>
      </w:r>
      <w:r w:rsidRPr="00E10C9D">
        <w:rPr>
          <w:rFonts w:ascii="David" w:hAnsi="David"/>
          <w:rtl/>
        </w:rPr>
        <w:t xml:space="preserve">" (שם, סעיף 7).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Pr>
      </w:pPr>
      <w:r w:rsidRPr="00E10C9D">
        <w:rPr>
          <w:rFonts w:ascii="David" w:hAnsi="David"/>
          <w:rtl/>
        </w:rPr>
        <w:lastRenderedPageBreak/>
        <w:tab/>
        <w:t xml:space="preserve">בפרשת יגאל סרנה נקבע "... </w:t>
      </w:r>
      <w:r w:rsidRPr="00E10C9D">
        <w:rPr>
          <w:rFonts w:ascii="David" w:hAnsi="David"/>
          <w:b/>
          <w:bCs/>
          <w:rtl/>
        </w:rPr>
        <w:t>גם הטענה כי פרסומים בפייסבוק ימיהם קצרים והם נבלעים ונעלמים כאדווה קלה בשצף הפרסומים מבלי שניתן לאתרם במנועי החיפוש, אינה מדוייקת</w:t>
      </w:r>
      <w:r w:rsidRPr="00E10C9D">
        <w:rPr>
          <w:rFonts w:ascii="David" w:hAnsi="David"/>
          <w:rtl/>
        </w:rPr>
        <w:t xml:space="preserve">. </w:t>
      </w:r>
      <w:r w:rsidRPr="00E10C9D">
        <w:rPr>
          <w:rFonts w:ascii="David" w:hAnsi="David"/>
          <w:b/>
          <w:bCs/>
          <w:rtl/>
        </w:rPr>
        <w:t xml:space="preserve">רוצה לומר כי מתן חסינות לפרסום בפייסבוק מפני איסור לשון הרע, משקפת גישה רומנטית – משהו כלפי כיכר השוק הוירטואלית על ההמולה השוררת בה, ריחותיה וצבעיה. קבלת גישתו של בא כוח המבקש לגבי זירת הפייסבוק משמעה התרה מוחלטת של הרסן, ובמקום שכיכר השוק תוצף באלף פרחים של חופש הביטוי, עלול דווקא הניחוח הכבד של מי השופכין שעלו על גדותיהם להשתלט על השיח. איסור לשון הרע, על מכלול החסינויות וההגנות שבו, תוך יישומו המושכל והתאמתו לעידן המודרני – כולל התחשבנות בטיב הפרסום ובזירת הפרסום בבחינת "המדיום הוא המסר" – יש בו כדי לאזן בין מוכרי הפרחים בכיכר השוק לבין אחרים, שמרכולתם גסה ודברי הבלע והכזב שלהם מבקשים למלא את החלל" </w:t>
      </w:r>
      <w:r w:rsidRPr="00E10C9D">
        <w:rPr>
          <w:rFonts w:ascii="David" w:hAnsi="David"/>
          <w:rtl/>
        </w:rPr>
        <w:t>(</w:t>
      </w:r>
      <w:r w:rsidRPr="00E10C9D">
        <w:rPr>
          <w:rFonts w:ascii="David" w:hAnsi="David"/>
          <w:u w:val="single"/>
          <w:rtl/>
        </w:rPr>
        <w:t>רע"א 1688/18</w:t>
      </w:r>
      <w:r w:rsidRPr="00E10C9D">
        <w:rPr>
          <w:rFonts w:ascii="David" w:hAnsi="David"/>
          <w:rtl/>
        </w:rPr>
        <w:t xml:space="preserve"> </w:t>
      </w:r>
      <w:r w:rsidRPr="00E10C9D">
        <w:rPr>
          <w:rFonts w:ascii="David" w:hAnsi="David"/>
          <w:b/>
          <w:bCs/>
          <w:rtl/>
        </w:rPr>
        <w:t xml:space="preserve">יגאל סרנה נ' בנימין נתניהו </w:t>
      </w:r>
      <w:r w:rsidRPr="00E10C9D">
        <w:rPr>
          <w:rFonts w:ascii="David" w:hAnsi="David"/>
          <w:rtl/>
        </w:rPr>
        <w:t xml:space="preserve">(15.04.18)ס' 4 לפסק הדין).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Pr>
      </w:pPr>
      <w:r w:rsidRPr="00E10C9D">
        <w:rPr>
          <w:rFonts w:ascii="David" w:hAnsi="David"/>
          <w:rtl/>
        </w:rPr>
        <w:t>21.</w:t>
      </w:r>
      <w:r w:rsidRPr="00E10C9D">
        <w:rPr>
          <w:rFonts w:ascii="David" w:hAnsi="David"/>
          <w:rtl/>
        </w:rPr>
        <w:tab/>
        <w:t>בשל השונות בין התביעות כאשר התביעה מייחסת לנתבעות (א. ו-החָברה) לשון הרע מעצם הגשת התלונה במשטרה תאובחן זו, כאמור, מהתביעה השנייה והתביעה שכנגד.</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sz w:val="26"/>
          <w:szCs w:val="26"/>
          <w:rtl/>
        </w:rPr>
      </w:pPr>
      <w:r w:rsidRPr="00E10C9D">
        <w:rPr>
          <w:rFonts w:ascii="David" w:hAnsi="David"/>
          <w:rtl/>
        </w:rPr>
        <w:tab/>
      </w:r>
      <w:r w:rsidRPr="00E10C9D">
        <w:rPr>
          <w:rFonts w:ascii="David" w:hAnsi="David"/>
          <w:b/>
          <w:bCs/>
          <w:sz w:val="26"/>
          <w:szCs w:val="26"/>
          <w:u w:val="thick"/>
          <w:rtl/>
        </w:rPr>
        <w:t>מן הכלל אל הפרט</w:t>
      </w:r>
      <w:r w:rsidRPr="00E10C9D">
        <w:rPr>
          <w:rFonts w:ascii="David" w:hAnsi="David"/>
          <w:sz w:val="26"/>
          <w:szCs w:val="26"/>
          <w:rtl/>
        </w:rPr>
        <w:t>:</w:t>
      </w:r>
    </w:p>
    <w:p w:rsidR="001417C6" w:rsidRPr="00E10C9D" w:rsidRDefault="001417C6" w:rsidP="001417C6">
      <w:pPr>
        <w:spacing w:line="360" w:lineRule="auto"/>
        <w:ind w:left="720" w:hanging="720"/>
        <w:jc w:val="both"/>
        <w:rPr>
          <w:rFonts w:ascii="David" w:hAnsi="David"/>
          <w:sz w:val="26"/>
          <w:szCs w:val="26"/>
          <w:rtl/>
        </w:rPr>
      </w:pPr>
    </w:p>
    <w:p w:rsidR="001417C6" w:rsidRPr="00E10C9D" w:rsidRDefault="001417C6" w:rsidP="001417C6">
      <w:pPr>
        <w:spacing w:line="360" w:lineRule="auto"/>
        <w:ind w:left="720"/>
        <w:jc w:val="both"/>
        <w:rPr>
          <w:rFonts w:ascii="David" w:hAnsi="David"/>
          <w:b/>
          <w:bCs/>
          <w:u w:val="single"/>
          <w:rtl/>
        </w:rPr>
      </w:pPr>
      <w:r w:rsidRPr="00E10C9D">
        <w:rPr>
          <w:rFonts w:ascii="David" w:hAnsi="David"/>
          <w:b/>
          <w:bCs/>
          <w:u w:val="single"/>
          <w:rtl/>
        </w:rPr>
        <w:t>התביעה:</w:t>
      </w:r>
    </w:p>
    <w:p w:rsidR="001417C6" w:rsidRPr="00E10C9D" w:rsidRDefault="001417C6" w:rsidP="001417C6">
      <w:pPr>
        <w:spacing w:line="360" w:lineRule="auto"/>
        <w:ind w:left="720"/>
        <w:jc w:val="both"/>
        <w:rPr>
          <w:rFonts w:ascii="David" w:hAnsi="David"/>
          <w:b/>
          <w:bCs/>
          <w:u w:val="single"/>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22.</w:t>
      </w:r>
      <w:r w:rsidRPr="00E10C9D">
        <w:rPr>
          <w:rFonts w:ascii="David" w:hAnsi="David"/>
          <w:rtl/>
        </w:rPr>
        <w:tab/>
        <w:t xml:space="preserve">הגשת תלונה כשלעצמה בוודאי אינה מהווה עילה לקביעה כי מדובר בלשון הרע. השאלה היא האם הוגשה התלונה בידיעה שהיא כוזבת או שאינה נכונה.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rPr>
          <w:rFonts w:ascii="David" w:hAnsi="David"/>
          <w:rtl/>
        </w:rPr>
      </w:pPr>
      <w:r w:rsidRPr="00E10C9D">
        <w:rPr>
          <w:rFonts w:ascii="David" w:hAnsi="David"/>
          <w:rtl/>
        </w:rPr>
        <w:tab/>
        <w:t xml:space="preserve">ס' </w:t>
      </w:r>
      <w:hyperlink r:id="rId6" w:history="1">
        <w:r w:rsidRPr="00E10C9D">
          <w:rPr>
            <w:rStyle w:val="Hyperlink"/>
            <w:rFonts w:ascii="David" w:hAnsi="David" w:cs="David"/>
            <w:rtl/>
          </w:rPr>
          <w:t>15 (10)</w:t>
        </w:r>
      </w:hyperlink>
      <w:r w:rsidRPr="00E10C9D">
        <w:rPr>
          <w:rFonts w:ascii="David" w:hAnsi="David"/>
          <w:rtl/>
        </w:rPr>
        <w:t xml:space="preserve"> </w:t>
      </w:r>
      <w:hyperlink r:id="rId7" w:history="1">
        <w:r w:rsidRPr="00E10C9D">
          <w:rPr>
            <w:rStyle w:val="Hyperlink"/>
            <w:rFonts w:ascii="David" w:hAnsi="David" w:cs="David"/>
            <w:rtl/>
          </w:rPr>
          <w:t>חוק איסור לשון הרע</w:t>
        </w:r>
      </w:hyperlink>
      <w:r w:rsidRPr="00E10C9D">
        <w:rPr>
          <w:rFonts w:ascii="David" w:hAnsi="David"/>
          <w:rtl/>
        </w:rPr>
        <w:t xml:space="preserve"> קובע :</w:t>
      </w:r>
    </w:p>
    <w:p w:rsidR="001417C6" w:rsidRPr="00E10C9D" w:rsidRDefault="001417C6" w:rsidP="001417C6">
      <w:pPr>
        <w:autoSpaceDE w:val="0"/>
        <w:autoSpaceDN w:val="0"/>
        <w:spacing w:before="60" w:line="360" w:lineRule="auto"/>
        <w:ind w:left="793"/>
        <w:jc w:val="both"/>
        <w:rPr>
          <w:rFonts w:ascii="David" w:hAnsi="David"/>
          <w:b/>
          <w:bCs/>
          <w:shd w:val="clear" w:color="auto" w:fill="FFFF99"/>
          <w:rtl/>
          <w:lang w:eastAsia="he-IL"/>
        </w:rPr>
      </w:pPr>
      <w:bookmarkStart w:id="1" w:name="Rov70"/>
      <w:r w:rsidRPr="00E10C9D">
        <w:rPr>
          <w:rFonts w:ascii="David" w:hAnsi="David"/>
          <w:b/>
          <w:bCs/>
          <w:rtl/>
          <w:lang w:eastAsia="he-IL"/>
        </w:rPr>
        <w:t>"במשפט פלילי או אזרחי בשל לשון הרע תהא זאת הגנה טובה אם הנאשם או הנתבע עשה את הפרסום בתום לב באחת הנסיבות האלו</w:t>
      </w:r>
      <w:bookmarkEnd w:id="1"/>
      <w:r w:rsidRPr="00E10C9D">
        <w:rPr>
          <w:rFonts w:ascii="David" w:hAnsi="David"/>
          <w:b/>
          <w:bCs/>
          <w:shd w:val="clear" w:color="auto" w:fill="FFFF99"/>
          <w:rtl/>
          <w:lang w:eastAsia="he-IL"/>
        </w:rPr>
        <w:t xml:space="preserve">: </w:t>
      </w:r>
    </w:p>
    <w:p w:rsidR="001417C6" w:rsidRPr="00E10C9D" w:rsidRDefault="001417C6" w:rsidP="001417C6">
      <w:pPr>
        <w:widowControl w:val="0"/>
        <w:suppressAutoHyphens/>
        <w:autoSpaceDE w:val="0"/>
        <w:autoSpaceDN w:val="0"/>
        <w:spacing w:before="72" w:line="360" w:lineRule="auto"/>
        <w:ind w:left="793"/>
        <w:jc w:val="both"/>
        <w:rPr>
          <w:rFonts w:ascii="David" w:hAnsi="David"/>
          <w:b/>
          <w:bCs/>
          <w:sz w:val="22"/>
          <w:szCs w:val="22"/>
          <w:rtl/>
          <w:lang w:eastAsia="he-IL"/>
        </w:rPr>
      </w:pPr>
      <w:r w:rsidRPr="00E10C9D">
        <w:rPr>
          <w:rFonts w:ascii="David" w:hAnsi="David"/>
          <w:b/>
          <w:bCs/>
          <w:rtl/>
          <w:lang w:eastAsia="he-IL"/>
        </w:rPr>
        <w:t>...(10) הפרסום לא נעשה אלא כדי לגנות או להכחיש לשון הרע שפורסמה קודם לכן";</w:t>
      </w:r>
    </w:p>
    <w:p w:rsidR="001417C6" w:rsidRPr="00E10C9D" w:rsidRDefault="001417C6" w:rsidP="001417C6">
      <w:pPr>
        <w:widowControl w:val="0"/>
        <w:suppressAutoHyphens/>
        <w:autoSpaceDE w:val="0"/>
        <w:autoSpaceDN w:val="0"/>
        <w:spacing w:before="72" w:line="360" w:lineRule="auto"/>
        <w:ind w:left="793"/>
        <w:jc w:val="both"/>
        <w:rPr>
          <w:rFonts w:ascii="David" w:hAnsi="David"/>
          <w:b/>
          <w:bCs/>
          <w:sz w:val="22"/>
          <w:szCs w:val="22"/>
          <w:rtl/>
          <w:lang w:eastAsia="he-IL"/>
        </w:rPr>
      </w:pPr>
    </w:p>
    <w:p w:rsidR="001417C6" w:rsidRPr="00E10C9D" w:rsidRDefault="001417C6" w:rsidP="001417C6">
      <w:pPr>
        <w:widowControl w:val="0"/>
        <w:suppressAutoHyphens/>
        <w:autoSpaceDE w:val="0"/>
        <w:autoSpaceDN w:val="0"/>
        <w:spacing w:before="72" w:line="360" w:lineRule="auto"/>
        <w:ind w:left="714" w:hanging="630"/>
        <w:jc w:val="both"/>
        <w:rPr>
          <w:rFonts w:ascii="David" w:hAnsi="David"/>
          <w:rtl/>
        </w:rPr>
      </w:pPr>
      <w:r w:rsidRPr="00E10C9D">
        <w:rPr>
          <w:rFonts w:ascii="David" w:hAnsi="David"/>
          <w:rtl/>
          <w:lang w:eastAsia="he-IL"/>
        </w:rPr>
        <w:t>23.</w:t>
      </w:r>
      <w:r w:rsidRPr="00E10C9D">
        <w:rPr>
          <w:rFonts w:ascii="David" w:hAnsi="David"/>
          <w:rtl/>
        </w:rPr>
        <w:tab/>
        <w:t xml:space="preserve">סקירת הפסיקה מביאה לכדי מסקנה מתבקשת מאליה שהשאלה הצריכה לבחינה היא בדבר המוטיבציה של המתלונן בהגשת התלונה. לאמור, האם הגשת התלונה נועדה כדי לפגוע בנילון, מצד אחד או שהמתלונן למשטרה עשה כן באמונה שלמה בדבר נכונות תלונתו ויתרה מכך חובתו לעשות כן, מצד שני. כך, ברור שחלק מאותו מארג המחייב בדיקה יסודית של המתלונן בדבר אמיתות תלונתו נגזרת ממקור ידיעתו של המתלונן האם ידיעתו ידיעה אישית או שזו הגיעה אליו מצד שלישי כלשהו. (להרחבה: </w:t>
      </w:r>
      <w:r w:rsidRPr="00E10C9D">
        <w:rPr>
          <w:rFonts w:ascii="David" w:hAnsi="David"/>
          <w:u w:val="single"/>
          <w:rtl/>
        </w:rPr>
        <w:t xml:space="preserve">ת.א. (ת"א) 30526-07-11 </w:t>
      </w:r>
      <w:r w:rsidRPr="00E10C9D">
        <w:rPr>
          <w:rFonts w:ascii="David" w:hAnsi="David"/>
          <w:b/>
          <w:bCs/>
          <w:rtl/>
        </w:rPr>
        <w:t xml:space="preserve">הילה ספיר שבה נ' גלקסי טכנולוגיה רפואית בע"מ </w:t>
      </w:r>
      <w:r w:rsidRPr="00E10C9D">
        <w:rPr>
          <w:rFonts w:ascii="David" w:hAnsi="David"/>
          <w:rtl/>
        </w:rPr>
        <w:t>(30/1/2014).</w:t>
      </w:r>
      <w:r w:rsidRPr="00E10C9D">
        <w:rPr>
          <w:rFonts w:ascii="David" w:hAnsi="David"/>
          <w:u w:val="single"/>
          <w:rtl/>
        </w:rPr>
        <w:t xml:space="preserve">  </w:t>
      </w:r>
    </w:p>
    <w:p w:rsidR="001417C6" w:rsidRPr="00E10C9D" w:rsidRDefault="001417C6" w:rsidP="001417C6">
      <w:pPr>
        <w:widowControl w:val="0"/>
        <w:suppressAutoHyphens/>
        <w:autoSpaceDE w:val="0"/>
        <w:autoSpaceDN w:val="0"/>
        <w:spacing w:before="72" w:line="360" w:lineRule="auto"/>
        <w:ind w:left="714" w:hanging="630"/>
        <w:jc w:val="both"/>
        <w:rPr>
          <w:rFonts w:ascii="David" w:hAnsi="David"/>
          <w:rtl/>
        </w:rPr>
      </w:pPr>
    </w:p>
    <w:p w:rsidR="001417C6" w:rsidRPr="00E10C9D" w:rsidRDefault="001417C6" w:rsidP="001417C6">
      <w:pPr>
        <w:widowControl w:val="0"/>
        <w:suppressAutoHyphens/>
        <w:autoSpaceDE w:val="0"/>
        <w:autoSpaceDN w:val="0"/>
        <w:spacing w:before="72" w:line="360" w:lineRule="auto"/>
        <w:ind w:left="714" w:hanging="630"/>
        <w:jc w:val="both"/>
        <w:rPr>
          <w:rFonts w:ascii="David" w:hAnsi="David"/>
          <w:rtl/>
        </w:rPr>
      </w:pPr>
      <w:r w:rsidRPr="00E10C9D">
        <w:rPr>
          <w:rFonts w:ascii="David" w:hAnsi="David"/>
          <w:rtl/>
        </w:rPr>
        <w:tab/>
        <w:t xml:space="preserve">התרגום של אבחנה זו היא תום הלב של המתלונן. בעניין הילה ספיר הנ"ל מביאה כבוד השופטת פרוסט-פרנקל את הדברים הבאים: </w:t>
      </w:r>
    </w:p>
    <w:p w:rsidR="001417C6" w:rsidRPr="00E10C9D" w:rsidRDefault="001417C6" w:rsidP="001417C6">
      <w:pPr>
        <w:widowControl w:val="0"/>
        <w:suppressAutoHyphens/>
        <w:autoSpaceDE w:val="0"/>
        <w:autoSpaceDN w:val="0"/>
        <w:spacing w:before="72" w:line="360" w:lineRule="auto"/>
        <w:ind w:left="714" w:hanging="630"/>
        <w:jc w:val="both"/>
        <w:rPr>
          <w:rFonts w:ascii="David" w:hAnsi="David"/>
          <w:rtl/>
        </w:rPr>
      </w:pPr>
    </w:p>
    <w:p w:rsidR="001417C6" w:rsidRPr="00E10C9D" w:rsidRDefault="001417C6" w:rsidP="001417C6">
      <w:pPr>
        <w:spacing w:line="360" w:lineRule="auto"/>
        <w:jc w:val="both"/>
        <w:rPr>
          <w:rFonts w:ascii="David" w:hAnsi="David"/>
          <w:b/>
          <w:bCs/>
          <w:rtl/>
        </w:rPr>
      </w:pPr>
      <w:r w:rsidRPr="00E10C9D">
        <w:rPr>
          <w:rFonts w:ascii="David" w:hAnsi="David"/>
          <w:b/>
          <w:bCs/>
          <w:rtl/>
        </w:rPr>
        <w:tab/>
        <w:t>"בת.א. (ראשל"צ 979-08 אינה ליבוביץ נ' יוסף רונן נקבע:</w:t>
      </w:r>
    </w:p>
    <w:p w:rsidR="001417C6" w:rsidRPr="00E10C9D" w:rsidRDefault="001417C6" w:rsidP="001417C6">
      <w:pPr>
        <w:spacing w:after="120" w:line="360" w:lineRule="auto"/>
        <w:ind w:left="720"/>
        <w:jc w:val="both"/>
        <w:rPr>
          <w:rFonts w:ascii="David" w:hAnsi="David"/>
          <w:b/>
          <w:bCs/>
          <w:rtl/>
        </w:rPr>
      </w:pPr>
      <w:r w:rsidRPr="00E10C9D">
        <w:rPr>
          <w:rFonts w:ascii="David" w:hAnsi="David"/>
          <w:b/>
          <w:bCs/>
          <w:rtl/>
        </w:rPr>
        <w:t>"אין כל ספק כי הגשת תלונת שווא לרשויות, כשהמתלונן יודע שתלונתו אינה נכונה – מהווה התרשלות והוצאת לשון הרע (סעיף 1 ל</w:t>
      </w:r>
      <w:hyperlink r:id="rId8" w:history="1">
        <w:r w:rsidRPr="00E10C9D">
          <w:rPr>
            <w:rStyle w:val="Hyperlink"/>
            <w:rFonts w:ascii="David" w:hAnsi="David" w:cs="David"/>
            <w:b/>
            <w:bCs/>
            <w:color w:val="auto"/>
            <w:rtl/>
          </w:rPr>
          <w:t>חוק איסור לשון הרע</w:t>
        </w:r>
      </w:hyperlink>
      <w:r w:rsidRPr="00E10C9D">
        <w:rPr>
          <w:rFonts w:ascii="David" w:hAnsi="David"/>
          <w:b/>
          <w:bCs/>
          <w:rtl/>
        </w:rPr>
        <w:t xml:space="preserve">). עמד על כך בית המשפט העליון בפרשת </w:t>
      </w:r>
      <w:hyperlink r:id="rId9" w:history="1">
        <w:r w:rsidRPr="00E10C9D">
          <w:rPr>
            <w:rStyle w:val="Hyperlink"/>
            <w:rFonts w:ascii="David" w:hAnsi="David" w:cs="David"/>
            <w:b/>
            <w:bCs/>
            <w:color w:val="auto"/>
            <w:rtl/>
          </w:rPr>
          <w:t>רע"א 1606/03</w:t>
        </w:r>
      </w:hyperlink>
      <w:r w:rsidRPr="00E10C9D">
        <w:rPr>
          <w:rFonts w:ascii="David" w:hAnsi="David"/>
          <w:b/>
          <w:bCs/>
          <w:rtl/>
        </w:rPr>
        <w:t xml:space="preserve"> אגשם נ' רשות הדואר [פורסם בנבו] עת קבע כי:</w:t>
      </w:r>
    </w:p>
    <w:p w:rsidR="001417C6" w:rsidRPr="00E10C9D" w:rsidRDefault="001417C6" w:rsidP="001417C6">
      <w:pPr>
        <w:spacing w:after="120" w:line="360" w:lineRule="auto"/>
        <w:ind w:left="720"/>
        <w:jc w:val="both"/>
        <w:rPr>
          <w:rFonts w:ascii="David" w:hAnsi="David"/>
          <w:b/>
          <w:bCs/>
          <w:rtl/>
        </w:rPr>
      </w:pPr>
      <w:r w:rsidRPr="00E10C9D">
        <w:rPr>
          <w:rFonts w:ascii="David" w:hAnsi="David"/>
          <w:b/>
          <w:bCs/>
          <w:rtl/>
        </w:rPr>
        <w:t>"הגשת תלונת שווא למשטרה, במתכוון או מתוך רשלנות, אינה מסירה מן המתלונן את האחריות ומטילה אותה על כתפי המשטרה.......פשיטא, שהמוסר תלונה למשטרה, על-יסוד חשד בלבד, ללא בדיקה כלשהי של העובדות, אחראי בנזיקין לנזק שגרם."</w:t>
      </w:r>
    </w:p>
    <w:p w:rsidR="001417C6" w:rsidRPr="00E10C9D" w:rsidRDefault="001417C6" w:rsidP="001417C6">
      <w:pPr>
        <w:spacing w:after="120" w:line="360" w:lineRule="auto"/>
        <w:ind w:left="720"/>
        <w:jc w:val="both"/>
        <w:rPr>
          <w:rFonts w:ascii="David" w:hAnsi="David"/>
          <w:b/>
          <w:bCs/>
          <w:rtl/>
        </w:rPr>
      </w:pPr>
      <w:r w:rsidRPr="00E10C9D">
        <w:rPr>
          <w:rFonts w:ascii="David" w:hAnsi="David"/>
          <w:b/>
          <w:bCs/>
          <w:rtl/>
        </w:rPr>
        <w:t>האחריות הנזיקית צומחת הן מעוולת הרשלנות והן מכח האיסור על פירסום לשון הרע. יחד עם זאת אין ספק כי תהיה זו הגנה טובה לנתבע אם הגיש את התלונה לרשות המוסמכת בתום לב על יסוד עובדות מסויימות המקימות חשד סביר (ר' סעיף 15(8) ל</w:t>
      </w:r>
      <w:hyperlink r:id="rId10" w:history="1">
        <w:r w:rsidRPr="00E10C9D">
          <w:rPr>
            <w:rStyle w:val="Hyperlink"/>
            <w:rFonts w:ascii="David" w:hAnsi="David" w:cs="David"/>
            <w:b/>
            <w:bCs/>
            <w:color w:val="auto"/>
            <w:rtl/>
          </w:rPr>
          <w:t>חוק איסור לשון הרע</w:t>
        </w:r>
      </w:hyperlink>
      <w:r w:rsidRPr="00E10C9D">
        <w:rPr>
          <w:rFonts w:ascii="David" w:hAnsi="David"/>
          <w:b/>
          <w:bCs/>
          <w:rtl/>
        </w:rPr>
        <w:t xml:space="preserve"> וכן, </w:t>
      </w:r>
      <w:hyperlink r:id="rId11" w:history="1">
        <w:r w:rsidRPr="00E10C9D">
          <w:rPr>
            <w:rStyle w:val="Hyperlink"/>
            <w:rFonts w:ascii="David" w:hAnsi="David" w:cs="David"/>
            <w:b/>
            <w:bCs/>
            <w:color w:val="auto"/>
            <w:rtl/>
          </w:rPr>
          <w:t>ע"א 310/74 שטרית נ' מזרחי, פ"ד ל</w:t>
        </w:r>
      </w:hyperlink>
      <w:r w:rsidRPr="00E10C9D">
        <w:rPr>
          <w:rFonts w:ascii="David" w:hAnsi="David"/>
          <w:b/>
          <w:bCs/>
          <w:rtl/>
        </w:rPr>
        <w:t>' (1), 389 וכן פסק דינו של בית משפט זה ב</w:t>
      </w:r>
      <w:hyperlink r:id="rId12" w:history="1">
        <w:r w:rsidRPr="00E10C9D">
          <w:rPr>
            <w:rStyle w:val="Hyperlink"/>
            <w:rFonts w:ascii="David" w:hAnsi="David" w:cs="David"/>
            <w:b/>
            <w:bCs/>
            <w:color w:val="auto"/>
            <w:rtl/>
          </w:rPr>
          <w:t>ת.א. (ראשל"צ) 6664/04</w:t>
        </w:r>
      </w:hyperlink>
      <w:r w:rsidRPr="00E10C9D">
        <w:rPr>
          <w:rFonts w:ascii="David" w:hAnsi="David"/>
          <w:b/>
          <w:bCs/>
          <w:rtl/>
        </w:rPr>
        <w:t xml:space="preserve"> חובב נ' חברת החשמל לישראל בע"מ [פורסם בנבו] והפסיקה המפורטת שם).</w:t>
      </w:r>
    </w:p>
    <w:p w:rsidR="001417C6" w:rsidRPr="00E10C9D" w:rsidRDefault="001417C6" w:rsidP="001417C6">
      <w:pPr>
        <w:spacing w:after="120" w:line="360" w:lineRule="auto"/>
        <w:ind w:left="720"/>
        <w:jc w:val="both"/>
        <w:rPr>
          <w:rFonts w:ascii="David" w:hAnsi="David"/>
          <w:b/>
          <w:bCs/>
        </w:rPr>
      </w:pPr>
      <w:r w:rsidRPr="00E10C9D">
        <w:rPr>
          <w:rFonts w:ascii="David" w:hAnsi="David"/>
          <w:b/>
          <w:bCs/>
          <w:rtl/>
        </w:rPr>
        <w:t>ב</w:t>
      </w:r>
      <w:hyperlink r:id="rId13" w:history="1">
        <w:r w:rsidRPr="00E10C9D">
          <w:rPr>
            <w:rStyle w:val="Hyperlink"/>
            <w:rFonts w:ascii="David" w:hAnsi="David" w:cs="David"/>
            <w:b/>
            <w:bCs/>
            <w:color w:val="auto"/>
            <w:rtl/>
          </w:rPr>
          <w:t>ע"א 788/79 ריימר נ' עזבון רייבר פ"ד ל"ו</w:t>
        </w:r>
      </w:hyperlink>
      <w:r w:rsidRPr="00E10C9D">
        <w:rPr>
          <w:rFonts w:ascii="David" w:hAnsi="David"/>
          <w:b/>
          <w:bCs/>
          <w:rtl/>
        </w:rPr>
        <w:t xml:space="preserve"> (2), 141 נבחן היקפו של תום הלב הנדרש כתנאי לתחולתה של ההגנה של הסעיף הנ"ל. בית המשפט העליון קבע כי: </w:t>
      </w:r>
    </w:p>
    <w:p w:rsidR="001417C6" w:rsidRPr="00E10C9D" w:rsidRDefault="001417C6" w:rsidP="001417C6">
      <w:pPr>
        <w:spacing w:after="120" w:line="360" w:lineRule="auto"/>
        <w:ind w:left="720"/>
        <w:jc w:val="both"/>
        <w:rPr>
          <w:rFonts w:ascii="David" w:hAnsi="David"/>
          <w:b/>
          <w:bCs/>
          <w:rtl/>
        </w:rPr>
      </w:pPr>
      <w:r w:rsidRPr="00E10C9D">
        <w:rPr>
          <w:rFonts w:ascii="David" w:hAnsi="David"/>
          <w:b/>
          <w:bCs/>
          <w:rtl/>
        </w:rPr>
        <w:t>"עלינו לפרש את 'תום הלב' בהקשרה של הגנה זו כמתייחס לאמונה של המפרסם באמיתות הפרסום. אדם, המתלונן בפני המשטרה על עבירה שלפי אמונתו בוצעה על ידי פלוני, זכאי להגנת החוק, גם אם יסתבר, כי אמונתו מוטעית היא שכן בנסיבות אלה ראוי הוא, כי האינטרס הפרטי של הנפגע יפנה דרכו לאינטרס הציבורי שאם לא כן יחששו בני הציבור להגיש תלונות. לעומת זאת, אם המתלונן אינו מאמין באמיתות תלונתו ויודע כי אינה אמת, אין כל אינטרס ציבורי במתן הגנה למתלונן ואין כל אינטרס ציבורי בעידוד התנהגות שכזו".........</w:t>
      </w:r>
    </w:p>
    <w:p w:rsidR="001417C6" w:rsidRPr="00E10C9D" w:rsidRDefault="001417C6" w:rsidP="001417C6">
      <w:pPr>
        <w:spacing w:line="360" w:lineRule="auto"/>
        <w:ind w:left="720"/>
        <w:jc w:val="both"/>
        <w:rPr>
          <w:rFonts w:ascii="David" w:hAnsi="David"/>
          <w:b/>
          <w:bCs/>
          <w:rtl/>
        </w:rPr>
      </w:pPr>
      <w:r w:rsidRPr="00E10C9D">
        <w:rPr>
          <w:rFonts w:ascii="David" w:hAnsi="David"/>
          <w:b/>
          <w:bCs/>
          <w:rtl/>
        </w:rPr>
        <w:t xml:space="preserve">. " ... תלונתו השגרתית של אזרח, </w:t>
      </w:r>
      <w:r w:rsidRPr="00E10C9D">
        <w:rPr>
          <w:rFonts w:ascii="David" w:hAnsi="David"/>
          <w:b/>
          <w:bCs/>
          <w:u w:val="single"/>
          <w:rtl/>
        </w:rPr>
        <w:t>החושד בתום-לב</w:t>
      </w:r>
      <w:r w:rsidRPr="00E10C9D">
        <w:rPr>
          <w:rFonts w:ascii="David" w:hAnsi="David"/>
          <w:b/>
          <w:bCs/>
          <w:rtl/>
        </w:rPr>
        <w:t xml:space="preserve"> במעשה עבירה של אחר והמופנית למשטרה, המופקדת על פי החוק על חקירת עבירות, אינה צריכה לגרור אחריה מסקנה כי בשל שימוש זה של אזרח בזכותו הטבעית להתלונן בפני מי שמוסמך לכך, התחייב </w:t>
      </w:r>
      <w:r w:rsidRPr="00E10C9D">
        <w:rPr>
          <w:rFonts w:ascii="David" w:hAnsi="David"/>
          <w:b/>
          <w:bCs/>
          <w:u w:val="single"/>
          <w:rtl/>
        </w:rPr>
        <w:t>במעשה עוולה</w:t>
      </w:r>
      <w:r w:rsidRPr="00E10C9D">
        <w:rPr>
          <w:rFonts w:ascii="David" w:hAnsi="David"/>
          <w:b/>
          <w:bCs/>
          <w:rtl/>
        </w:rPr>
        <w:t>".</w:t>
      </w:r>
    </w:p>
    <w:p w:rsidR="001417C6" w:rsidRPr="00E10C9D" w:rsidRDefault="001417C6" w:rsidP="001417C6">
      <w:pPr>
        <w:spacing w:line="360" w:lineRule="auto"/>
        <w:ind w:left="720"/>
        <w:jc w:val="both"/>
        <w:rPr>
          <w:rFonts w:ascii="David" w:hAnsi="David"/>
          <w:b/>
          <w:bCs/>
          <w:rtl/>
        </w:rPr>
      </w:pPr>
    </w:p>
    <w:p w:rsidR="001417C6" w:rsidRPr="00E10C9D" w:rsidRDefault="001417C6" w:rsidP="001417C6">
      <w:pPr>
        <w:spacing w:after="120" w:line="360" w:lineRule="auto"/>
        <w:ind w:left="720"/>
        <w:jc w:val="both"/>
        <w:rPr>
          <w:rFonts w:ascii="David" w:hAnsi="David"/>
          <w:b/>
          <w:bCs/>
          <w:rtl/>
        </w:rPr>
      </w:pPr>
      <w:r w:rsidRPr="00E10C9D">
        <w:rPr>
          <w:rFonts w:ascii="David" w:hAnsi="David"/>
          <w:b/>
          <w:bCs/>
          <w:rtl/>
        </w:rPr>
        <w:t>78.  ב</w:t>
      </w:r>
      <w:hyperlink r:id="rId14" w:history="1">
        <w:r w:rsidRPr="00E10C9D">
          <w:rPr>
            <w:rStyle w:val="Hyperlink"/>
            <w:rFonts w:ascii="David" w:hAnsi="David" w:cs="David"/>
            <w:b/>
            <w:bCs/>
            <w:color w:val="auto"/>
            <w:rtl/>
          </w:rPr>
          <w:t>ת"ק 51735-07-10</w:t>
        </w:r>
      </w:hyperlink>
      <w:r w:rsidRPr="00E10C9D">
        <w:rPr>
          <w:rFonts w:ascii="David" w:hAnsi="David"/>
          <w:b/>
          <w:bCs/>
          <w:rtl/>
        </w:rPr>
        <w:t xml:space="preserve"> יקירי נ' מייזלס [פורסם בנבו] סקר כב' השופט  אייל דורון את עוולת לשון הרע בהגשת תלונת שווא והפנה למבחן הסבירות שנקבע בפס"ד אשגם:</w:t>
      </w:r>
    </w:p>
    <w:p w:rsidR="001417C6" w:rsidRPr="00E10C9D" w:rsidRDefault="001417C6" w:rsidP="001417C6">
      <w:pPr>
        <w:spacing w:line="360" w:lineRule="auto"/>
        <w:ind w:left="720"/>
        <w:jc w:val="both"/>
        <w:rPr>
          <w:rFonts w:ascii="David" w:hAnsi="David"/>
          <w:b/>
          <w:bCs/>
          <w:rtl/>
        </w:rPr>
      </w:pPr>
      <w:r w:rsidRPr="00E10C9D">
        <w:rPr>
          <w:rFonts w:ascii="David" w:hAnsi="David"/>
          <w:b/>
          <w:bCs/>
          <w:rtl/>
        </w:rPr>
        <w:t>"זאת ועוד, מה האמצעים הסבירים בהם חייב היה המערער לנקוט לפני פנייתו למשטרה? הרי אין להעלות על הדעת כי כל אימת ועולה חשד בלבו של פלוני, עליו לאמת את החשד תחילה למשטרה. בכגון אלה, הפניה למשטרה היא הפעולה הטבעית והסבירה ביותר ואין להלין עליה".</w:t>
      </w:r>
    </w:p>
    <w:p w:rsidR="001417C6" w:rsidRPr="00E10C9D" w:rsidRDefault="001417C6" w:rsidP="001417C6">
      <w:pPr>
        <w:spacing w:line="360" w:lineRule="auto"/>
        <w:ind w:left="720"/>
        <w:jc w:val="both"/>
        <w:rPr>
          <w:rFonts w:ascii="David" w:hAnsi="David"/>
          <w:b/>
          <w:bCs/>
          <w:rtl/>
        </w:rPr>
      </w:pPr>
      <w:r w:rsidRPr="00E10C9D">
        <w:rPr>
          <w:rFonts w:ascii="David" w:hAnsi="David"/>
          <w:b/>
          <w:bCs/>
          <w:rtl/>
        </w:rPr>
        <w:t xml:space="preserve">כב' השופט דורון מפנה לפסיקה שקבעה, שעל המגיש תלונה לנקוט בזהירות ולוודא שתלונתו מתבססת על תשתית עובדתית כלשהיא. </w:t>
      </w:r>
      <w:hyperlink r:id="rId15" w:history="1">
        <w:r w:rsidRPr="00E10C9D">
          <w:rPr>
            <w:rStyle w:val="Hyperlink"/>
            <w:rFonts w:ascii="David" w:hAnsi="David" w:cs="David"/>
            <w:b/>
            <w:bCs/>
            <w:color w:val="auto"/>
            <w:rtl/>
          </w:rPr>
          <w:t>ת.א. (שלום, ת"א) 57159/04</w:t>
        </w:r>
      </w:hyperlink>
      <w:r w:rsidRPr="00E10C9D">
        <w:rPr>
          <w:rFonts w:ascii="David" w:hAnsi="David"/>
          <w:b/>
          <w:bCs/>
          <w:rtl/>
        </w:rPr>
        <w:t xml:space="preserve"> </w:t>
      </w:r>
      <w:r w:rsidRPr="00E10C9D">
        <w:rPr>
          <w:rFonts w:ascii="David" w:hAnsi="David"/>
          <w:b/>
          <w:bCs/>
          <w:u w:val="single"/>
          <w:rtl/>
        </w:rPr>
        <w:t>שקד נ' בנק המזרחי</w:t>
      </w:r>
      <w:r w:rsidRPr="00E10C9D">
        <w:rPr>
          <w:rFonts w:ascii="David" w:hAnsi="David"/>
          <w:b/>
          <w:bCs/>
          <w:rtl/>
        </w:rPr>
        <w:t xml:space="preserve"> [פורסם בנבו] :  כן נקבע </w:t>
      </w:r>
    </w:p>
    <w:p w:rsidR="001417C6" w:rsidRPr="00E10C9D" w:rsidRDefault="001417C6" w:rsidP="001417C6">
      <w:pPr>
        <w:spacing w:line="360" w:lineRule="auto"/>
        <w:ind w:left="720"/>
        <w:jc w:val="both"/>
        <w:rPr>
          <w:rFonts w:ascii="David" w:hAnsi="David"/>
          <w:b/>
          <w:bCs/>
          <w:rtl/>
        </w:rPr>
      </w:pPr>
      <w:r w:rsidRPr="00E10C9D">
        <w:rPr>
          <w:rFonts w:ascii="David" w:hAnsi="David"/>
          <w:b/>
          <w:bCs/>
          <w:rtl/>
        </w:rPr>
        <w:lastRenderedPageBreak/>
        <w:t xml:space="preserve">שיש להבחין בין מצב שבו התלונה נעשתה על יסוד דברים שהיו ידועים למתלונן מידיעתו האישית, לבין מצב שבו התלונה נעשתה על יסוד דברים שהועברו לו ע"י צד ג'. </w:t>
      </w:r>
      <w:hyperlink r:id="rId16" w:history="1">
        <w:r w:rsidRPr="00E10C9D">
          <w:rPr>
            <w:rStyle w:val="Hyperlink"/>
            <w:rFonts w:ascii="David" w:hAnsi="David" w:cs="David"/>
            <w:b/>
            <w:bCs/>
            <w:color w:val="auto"/>
            <w:rtl/>
          </w:rPr>
          <w:t>ת"ק (רחובות) 1677/09</w:t>
        </w:r>
      </w:hyperlink>
      <w:r w:rsidRPr="00E10C9D">
        <w:rPr>
          <w:rFonts w:ascii="David" w:hAnsi="David"/>
          <w:b/>
          <w:bCs/>
          <w:rtl/>
        </w:rPr>
        <w:t xml:space="preserve"> </w:t>
      </w:r>
      <w:r w:rsidRPr="00E10C9D">
        <w:rPr>
          <w:rFonts w:ascii="David" w:hAnsi="David"/>
          <w:b/>
          <w:bCs/>
          <w:u w:val="single"/>
          <w:rtl/>
        </w:rPr>
        <w:t>כברה נ' אידן</w:t>
      </w:r>
      <w:r w:rsidRPr="00E10C9D">
        <w:rPr>
          <w:rFonts w:ascii="David" w:hAnsi="David"/>
          <w:b/>
          <w:bCs/>
          <w:rtl/>
        </w:rPr>
        <w:t xml:space="preserve"> [פורסם בנבו] </w:t>
      </w:r>
      <w:hyperlink r:id="rId17" w:history="1">
        <w:r w:rsidRPr="00E10C9D">
          <w:rPr>
            <w:rStyle w:val="Hyperlink"/>
            <w:rFonts w:ascii="David" w:hAnsi="David" w:cs="David"/>
            <w:b/>
            <w:bCs/>
            <w:color w:val="auto"/>
            <w:rtl/>
          </w:rPr>
          <w:t>ת.א. (שלום, י-ם) 7101/02</w:t>
        </w:r>
      </w:hyperlink>
      <w:r w:rsidRPr="00E10C9D">
        <w:rPr>
          <w:rFonts w:ascii="David" w:hAnsi="David"/>
          <w:b/>
          <w:bCs/>
          <w:rtl/>
        </w:rPr>
        <w:t xml:space="preserve"> </w:t>
      </w:r>
      <w:r w:rsidRPr="00E10C9D">
        <w:rPr>
          <w:rFonts w:ascii="David" w:hAnsi="David"/>
          <w:b/>
          <w:bCs/>
          <w:u w:val="single"/>
          <w:rtl/>
        </w:rPr>
        <w:t>ביתי יבנה, עמותה רשומה נ' משיח</w:t>
      </w:r>
      <w:r w:rsidRPr="00E10C9D">
        <w:rPr>
          <w:rFonts w:ascii="David" w:hAnsi="David"/>
          <w:b/>
          <w:bCs/>
          <w:rtl/>
        </w:rPr>
        <w:t xml:space="preserve"> [פורסם בנבו].</w:t>
      </w:r>
    </w:p>
    <w:p w:rsidR="001417C6" w:rsidRPr="00E10C9D" w:rsidRDefault="001417C6" w:rsidP="001417C6">
      <w:pPr>
        <w:spacing w:line="360" w:lineRule="auto"/>
        <w:ind w:left="720"/>
        <w:jc w:val="both"/>
        <w:rPr>
          <w:rFonts w:ascii="David" w:hAnsi="David"/>
          <w:b/>
          <w:bCs/>
          <w:rtl/>
        </w:rPr>
      </w:pPr>
    </w:p>
    <w:p w:rsidR="001417C6" w:rsidRPr="00E10C9D" w:rsidRDefault="001417C6" w:rsidP="001417C6">
      <w:pPr>
        <w:spacing w:line="360" w:lineRule="auto"/>
        <w:ind w:left="793"/>
        <w:jc w:val="both"/>
        <w:rPr>
          <w:rFonts w:ascii="David" w:hAnsi="David"/>
          <w:b/>
          <w:bCs/>
          <w:rtl/>
        </w:rPr>
      </w:pPr>
      <w:r w:rsidRPr="00E10C9D">
        <w:rPr>
          <w:rFonts w:ascii="David" w:hAnsi="David"/>
          <w:b/>
          <w:bCs/>
          <w:rtl/>
        </w:rPr>
        <w:t xml:space="preserve">79.  כב' השופט דורון קבע: אף אני סבור, בדומה למוסבר שם, כי קיימים טעמים כבדי משקל של מדיניות משפטית, המעוגנים בפסיקה ענפה של בית המשפט העליון, ואשר לא מן הנמנע כי בנסיבות מסויימות עשויים הם להצדיק הימנעות מהטלת חבות בנזיקין, בשל שאיפת החָברה לעודד את הפרט להגיש תלונה מקום שעולה חשד - ובלבד שהוא חשד כנה ואמיתי - לביצוע עבירה. שהרי בית המשפט העליון כבר עמד על  אולם פני הדברים הם שונים כאשר מדובר בתלונת שווא מכוונת. לעניין זה יפים דברי כב' השופטת גנות בפס"ד </w:t>
      </w:r>
      <w:r w:rsidRPr="00E10C9D">
        <w:rPr>
          <w:rFonts w:ascii="David" w:hAnsi="David"/>
          <w:b/>
          <w:bCs/>
          <w:u w:val="single"/>
          <w:rtl/>
        </w:rPr>
        <w:t>ב</w:t>
      </w:r>
      <w:hyperlink r:id="rId18" w:history="1">
        <w:r w:rsidRPr="00E10C9D">
          <w:rPr>
            <w:rStyle w:val="Hyperlink"/>
            <w:rFonts w:ascii="David" w:hAnsi="David" w:cs="David"/>
            <w:b/>
            <w:bCs/>
            <w:color w:val="auto"/>
            <w:rtl/>
          </w:rPr>
          <w:t>ת.א. 34888/05</w:t>
        </w:r>
      </w:hyperlink>
      <w:r w:rsidRPr="00E10C9D">
        <w:rPr>
          <w:rFonts w:ascii="David" w:hAnsi="David"/>
          <w:b/>
          <w:bCs/>
          <w:u w:val="single"/>
          <w:rtl/>
        </w:rPr>
        <w:t xml:space="preserve"> צהור נ' מדמוני</w:t>
      </w:r>
      <w:r w:rsidRPr="00E10C9D">
        <w:rPr>
          <w:rFonts w:ascii="David" w:hAnsi="David"/>
          <w:b/>
          <w:bCs/>
          <w:rtl/>
        </w:rPr>
        <w:t xml:space="preserve"> [פורסם בנבו] </w:t>
      </w:r>
    </w:p>
    <w:p w:rsidR="001417C6" w:rsidRPr="00E10C9D" w:rsidRDefault="001417C6" w:rsidP="001417C6">
      <w:pPr>
        <w:spacing w:line="360" w:lineRule="auto"/>
        <w:ind w:left="720"/>
        <w:jc w:val="both"/>
        <w:rPr>
          <w:rFonts w:ascii="David" w:hAnsi="David"/>
          <w:b/>
          <w:bCs/>
          <w:rtl/>
        </w:rPr>
      </w:pPr>
      <w:r w:rsidRPr="00E10C9D">
        <w:rPr>
          <w:rFonts w:ascii="David" w:hAnsi="David"/>
          <w:b/>
          <w:bCs/>
          <w:rtl/>
        </w:rPr>
        <w:t>"אלא שאינני סבורה כי האינטרס הציבורי מצדיק את ההימנעות מהטלת חובת זהירות מושגית במקרים בהם הוגשה תלונה כוזבת ושקרית ביודעין ובמכוון.  ...מהאמור עולה כי הגשת תלונות כוזבות ושקריות ביודעין ובמכוון לרשויות המוסמכות לא רק שאינה מקדמת כל אינטרס ציבורי, אלא שהיא עומדת בניגוד לאינטרס הציבורי, ...".</w:t>
      </w:r>
    </w:p>
    <w:p w:rsidR="001417C6" w:rsidRPr="00E10C9D" w:rsidRDefault="001417C6" w:rsidP="001417C6">
      <w:pPr>
        <w:spacing w:line="360" w:lineRule="auto"/>
        <w:ind w:left="720"/>
        <w:jc w:val="both"/>
        <w:rPr>
          <w:rFonts w:ascii="David" w:hAnsi="David"/>
          <w:b/>
          <w:bCs/>
          <w:rtl/>
        </w:rPr>
      </w:pPr>
    </w:p>
    <w:p w:rsidR="001417C6" w:rsidRPr="00E10C9D" w:rsidRDefault="001417C6" w:rsidP="001417C6">
      <w:pPr>
        <w:spacing w:line="360" w:lineRule="auto"/>
        <w:ind w:left="720"/>
        <w:jc w:val="both"/>
        <w:rPr>
          <w:rFonts w:ascii="David" w:hAnsi="David"/>
          <w:b/>
          <w:bCs/>
          <w:rtl/>
        </w:rPr>
      </w:pPr>
      <w:r w:rsidRPr="00E10C9D">
        <w:rPr>
          <w:rFonts w:ascii="David" w:hAnsi="David"/>
          <w:b/>
          <w:bCs/>
          <w:rtl/>
        </w:rPr>
        <w:t xml:space="preserve">80.  יש לערוך איזון אינטרסים בין שאיפת החָברה לעודד מסירת מידע לרשויות אכיפת החוק לבין השאיפה למנוע פגיעה בפרטים בחברה כתוצאה ממסירת מידע. </w:t>
      </w:r>
    </w:p>
    <w:p w:rsidR="001417C6" w:rsidRPr="00E10C9D" w:rsidRDefault="001417C6" w:rsidP="001417C6">
      <w:pPr>
        <w:spacing w:line="360" w:lineRule="auto"/>
        <w:ind w:firstLine="720"/>
        <w:jc w:val="both"/>
        <w:rPr>
          <w:rFonts w:ascii="David" w:hAnsi="David"/>
          <w:b/>
          <w:bCs/>
          <w:rtl/>
        </w:rPr>
      </w:pPr>
      <w:r w:rsidRPr="00E10C9D">
        <w:rPr>
          <w:rFonts w:ascii="David" w:hAnsi="David"/>
          <w:b/>
          <w:bCs/>
          <w:rtl/>
        </w:rPr>
        <w:t xml:space="preserve"> </w:t>
      </w:r>
      <w:hyperlink r:id="rId19" w:history="1">
        <w:r w:rsidRPr="00E10C9D">
          <w:rPr>
            <w:rStyle w:val="Hyperlink"/>
            <w:rFonts w:ascii="David" w:hAnsi="David" w:cs="David"/>
            <w:b/>
            <w:bCs/>
            <w:color w:val="auto"/>
            <w:rtl/>
          </w:rPr>
          <w:t>סעיף 15(8)</w:t>
        </w:r>
      </w:hyperlink>
      <w:r w:rsidRPr="00E10C9D">
        <w:rPr>
          <w:rFonts w:ascii="David" w:hAnsi="David"/>
          <w:b/>
          <w:bCs/>
          <w:rtl/>
        </w:rPr>
        <w:t xml:space="preserve"> ל</w:t>
      </w:r>
      <w:hyperlink r:id="rId20" w:history="1">
        <w:r w:rsidRPr="00E10C9D">
          <w:rPr>
            <w:rStyle w:val="Hyperlink"/>
            <w:rFonts w:ascii="David" w:hAnsi="David" w:cs="David"/>
            <w:b/>
            <w:bCs/>
            <w:color w:val="auto"/>
            <w:rtl/>
          </w:rPr>
          <w:t>חוק איסור לשון הרע</w:t>
        </w:r>
      </w:hyperlink>
      <w:r w:rsidRPr="00E10C9D">
        <w:rPr>
          <w:rFonts w:ascii="David" w:hAnsi="David"/>
          <w:b/>
          <w:bCs/>
          <w:rtl/>
        </w:rPr>
        <w:t>, התשכ"ה-1965 (להלן: "החוק"),</w:t>
      </w:r>
    </w:p>
    <w:p w:rsidR="001417C6" w:rsidRPr="00E10C9D" w:rsidRDefault="001417C6" w:rsidP="001417C6">
      <w:pPr>
        <w:spacing w:line="360" w:lineRule="auto"/>
        <w:ind w:left="720"/>
        <w:jc w:val="both"/>
        <w:rPr>
          <w:rFonts w:ascii="David" w:hAnsi="David"/>
          <w:b/>
          <w:bCs/>
          <w:rtl/>
        </w:rPr>
      </w:pPr>
      <w:r w:rsidRPr="00E10C9D">
        <w:rPr>
          <w:rFonts w:ascii="David" w:hAnsi="David"/>
          <w:b/>
          <w:bCs/>
          <w:rtl/>
        </w:rPr>
        <w:t xml:space="preserve"> קובע הגנה אם:</w:t>
      </w:r>
    </w:p>
    <w:p w:rsidR="001417C6" w:rsidRPr="00E10C9D" w:rsidRDefault="001417C6" w:rsidP="001417C6">
      <w:pPr>
        <w:spacing w:line="360" w:lineRule="auto"/>
        <w:ind w:left="793"/>
        <w:jc w:val="both"/>
        <w:rPr>
          <w:rFonts w:ascii="David" w:hAnsi="David"/>
          <w:b/>
          <w:bCs/>
          <w:rtl/>
        </w:rPr>
      </w:pPr>
      <w:r w:rsidRPr="00E10C9D">
        <w:rPr>
          <w:rFonts w:ascii="David" w:hAnsi="David"/>
          <w:b/>
          <w:bCs/>
          <w:rtl/>
        </w:rPr>
        <w:t>"הפרסום היה בהגשת תלונה על הנפגע בענין שבו האדם שאליו הוגשה התלונה ממונה על הנפגע, מכוח דין או חוזה, או תלונה שהוגשה לרשות המוסמכת לקבל תלונות על הנפגע או לחקור בענין המשמש נושא התלונה. ואולם אין בהוראה זו כדי להקנות הגנה על פרסום אחר של התלונה, של דבר הגשתה או של תכנה;".</w:t>
      </w:r>
      <w:r w:rsidRPr="00E10C9D">
        <w:rPr>
          <w:rFonts w:ascii="David" w:hAnsi="David"/>
          <w:b/>
          <w:bCs/>
          <w:rtl/>
        </w:rPr>
        <w:tab/>
      </w:r>
    </w:p>
    <w:p w:rsidR="001417C6" w:rsidRPr="00E10C9D" w:rsidRDefault="001417C6" w:rsidP="001417C6">
      <w:pPr>
        <w:spacing w:line="360" w:lineRule="auto"/>
        <w:ind w:left="720"/>
        <w:jc w:val="both"/>
        <w:rPr>
          <w:rFonts w:ascii="David" w:hAnsi="David"/>
          <w:b/>
          <w:bCs/>
          <w:rtl/>
        </w:rPr>
      </w:pPr>
      <w:r w:rsidRPr="00E10C9D">
        <w:rPr>
          <w:rFonts w:ascii="David" w:hAnsi="David"/>
          <w:b/>
          <w:bCs/>
          <w:rtl/>
        </w:rPr>
        <w:t xml:space="preserve">על פי הרישא </w:t>
      </w:r>
      <w:hyperlink r:id="rId21" w:history="1">
        <w:r w:rsidRPr="00E10C9D">
          <w:rPr>
            <w:rStyle w:val="Hyperlink"/>
            <w:rFonts w:ascii="David" w:hAnsi="David" w:cs="David"/>
            <w:b/>
            <w:bCs/>
            <w:color w:val="auto"/>
            <w:rtl/>
          </w:rPr>
          <w:t>לסעיף 15</w:t>
        </w:r>
      </w:hyperlink>
      <w:r w:rsidRPr="00E10C9D">
        <w:rPr>
          <w:rFonts w:ascii="David" w:hAnsi="David"/>
          <w:b/>
          <w:bCs/>
          <w:rtl/>
        </w:rPr>
        <w:t xml:space="preserve"> לחוק, קיום תנאי ס"ק (8) מהווה הגנה טובה רק אם הנתבע </w:t>
      </w:r>
    </w:p>
    <w:p w:rsidR="001417C6" w:rsidRPr="00E10C9D" w:rsidRDefault="001417C6" w:rsidP="001417C6">
      <w:pPr>
        <w:spacing w:line="360" w:lineRule="auto"/>
        <w:ind w:left="720"/>
        <w:jc w:val="both"/>
        <w:rPr>
          <w:rFonts w:ascii="David" w:hAnsi="David"/>
          <w:b/>
          <w:bCs/>
          <w:rtl/>
        </w:rPr>
      </w:pPr>
      <w:r w:rsidRPr="00E10C9D">
        <w:rPr>
          <w:rFonts w:ascii="David" w:hAnsi="David"/>
          <w:b/>
          <w:bCs/>
          <w:rtl/>
        </w:rPr>
        <w:t xml:space="preserve">(או הנאשם) עשה את הפרסום בתום לב. </w:t>
      </w:r>
    </w:p>
    <w:p w:rsidR="001417C6" w:rsidRPr="00E10C9D" w:rsidRDefault="001417C6" w:rsidP="001417C6">
      <w:pPr>
        <w:spacing w:line="360" w:lineRule="auto"/>
        <w:ind w:left="720"/>
        <w:jc w:val="both"/>
        <w:rPr>
          <w:rFonts w:ascii="David" w:hAnsi="David"/>
          <w:b/>
          <w:bCs/>
          <w:rtl/>
        </w:rPr>
      </w:pPr>
    </w:p>
    <w:p w:rsidR="001417C6" w:rsidRPr="00E10C9D" w:rsidRDefault="001417C6" w:rsidP="001417C6">
      <w:pPr>
        <w:spacing w:line="360" w:lineRule="auto"/>
        <w:ind w:firstLine="720"/>
        <w:jc w:val="both"/>
        <w:rPr>
          <w:rFonts w:ascii="David" w:hAnsi="David"/>
          <w:b/>
          <w:bCs/>
          <w:rtl/>
        </w:rPr>
      </w:pPr>
      <w:r w:rsidRPr="00E10C9D">
        <w:rPr>
          <w:rFonts w:ascii="David" w:hAnsi="David"/>
          <w:b/>
          <w:bCs/>
          <w:rtl/>
        </w:rPr>
        <w:t>81.  כב' השופט דורון מפנה לדברי כב' השופט (כתוארו דאז) א' ברק שקבע:</w:t>
      </w:r>
    </w:p>
    <w:p w:rsidR="001417C6" w:rsidRPr="00E10C9D" w:rsidRDefault="001417C6" w:rsidP="001417C6">
      <w:pPr>
        <w:spacing w:line="360" w:lineRule="auto"/>
        <w:ind w:left="720"/>
        <w:jc w:val="both"/>
        <w:rPr>
          <w:rFonts w:ascii="David" w:hAnsi="David"/>
          <w:b/>
          <w:bCs/>
          <w:rtl/>
        </w:rPr>
      </w:pPr>
      <w:r w:rsidRPr="00E10C9D">
        <w:rPr>
          <w:rFonts w:ascii="David" w:hAnsi="David"/>
          <w:b/>
          <w:bCs/>
          <w:rtl/>
        </w:rPr>
        <w:t>"בקביעתה של הגנה זו ביקש המחוקק לקבוע איזון עדין בין השמירה על שמו הטוב של אדם לבין הצורך לאפשר לבני הציבור להתלונן בפני המשטרה על עבירות שבוצעו, ובכך לעודד הבאתם</w:t>
      </w:r>
      <w:r w:rsidRPr="00E10C9D">
        <w:rPr>
          <w:rFonts w:ascii="David" w:hAnsi="David"/>
          <w:b/>
          <w:bCs/>
        </w:rPr>
        <w:t xml:space="preserve"> </w:t>
      </w:r>
      <w:r w:rsidRPr="00E10C9D">
        <w:rPr>
          <w:rFonts w:ascii="David" w:hAnsi="David"/>
          <w:b/>
          <w:bCs/>
          <w:rtl/>
        </w:rPr>
        <w:t xml:space="preserve">של עבריינים לדין, מבלי שהמתלוננים יעמדו בפני הסיכון של תביעה בגין לשון הרע. הצורך להבטיח את האיזון האמור הוא הקובע את הדרך הראויה לפירושו של מושג תום הלב בסעיף </w:t>
      </w:r>
      <w:r w:rsidRPr="00E10C9D">
        <w:rPr>
          <w:rFonts w:ascii="David" w:hAnsi="David"/>
          <w:b/>
          <w:bCs/>
        </w:rPr>
        <w:t>15</w:t>
      </w:r>
      <w:r w:rsidRPr="00E10C9D">
        <w:rPr>
          <w:rFonts w:ascii="David" w:hAnsi="David"/>
          <w:b/>
          <w:bCs/>
          <w:rtl/>
        </w:rPr>
        <w:t xml:space="preserve"> (8) האמור. נראה לי, כי עלינו לפרש את "תום הלב" בהקשרה של הגנה זו כמתייחס לאמונה של המפרסם באמיתות הפרסום. אדם, המתלונן בפני המשטרה על עבירה שלפי אמונתו בוצעה על-ידי פלוני, זכאי להגנת החוק, גם אם מסתבר, כי אמונתו מוטעית היא, שכן בנסיבות אלה ראוי הוא, כי האינטרס הפרטי של הנפגע יפנה דרכו לאינטרס הציבורי, שאם לא כן יחששו בני הציבור להגיש תלונות. </w:t>
      </w:r>
      <w:r w:rsidRPr="00E10C9D">
        <w:rPr>
          <w:rFonts w:ascii="David" w:hAnsi="David"/>
          <w:b/>
          <w:bCs/>
          <w:rtl/>
        </w:rPr>
        <w:lastRenderedPageBreak/>
        <w:t>לעומת זאת, אם המתלונן אינו מאמין באמיתות תלונתו ויודע כי אינה אמת, אין כל אינטרס ציבורי במתן הגנה למתלונן, ואין כל אינטרס ציבורי בעידוד התנהגות שכזו".</w:t>
      </w:r>
    </w:p>
    <w:p w:rsidR="001417C6" w:rsidRPr="00E10C9D" w:rsidRDefault="001417C6" w:rsidP="001417C6">
      <w:pPr>
        <w:spacing w:line="360" w:lineRule="auto"/>
        <w:ind w:left="720"/>
        <w:jc w:val="both"/>
        <w:rPr>
          <w:rFonts w:ascii="David" w:hAnsi="David"/>
          <w:b/>
          <w:bCs/>
          <w:rtl/>
        </w:rPr>
      </w:pPr>
      <w:r w:rsidRPr="00E10C9D">
        <w:rPr>
          <w:rFonts w:ascii="David" w:hAnsi="David"/>
          <w:b/>
          <w:bCs/>
          <w:rtl/>
        </w:rPr>
        <w:t xml:space="preserve">82.  דהיינו, תום לב  משמעו, בהקשר הרלבנטי </w:t>
      </w:r>
      <w:hyperlink r:id="rId22" w:history="1">
        <w:r w:rsidRPr="00E10C9D">
          <w:rPr>
            <w:rStyle w:val="Hyperlink"/>
            <w:rFonts w:ascii="David" w:hAnsi="David" w:cs="David"/>
            <w:b/>
            <w:bCs/>
            <w:color w:val="auto"/>
            <w:rtl/>
          </w:rPr>
          <w:t>לסעיף 15(8)</w:t>
        </w:r>
      </w:hyperlink>
      <w:r w:rsidRPr="00E10C9D">
        <w:rPr>
          <w:rFonts w:ascii="David" w:hAnsi="David"/>
          <w:b/>
          <w:bCs/>
          <w:rtl/>
        </w:rPr>
        <w:t xml:space="preserve"> לחוק, אמונה של המתלונן באמיתות תלונתו. יש להבחין בין מניעיו של המתלונן לבין אמונתו בנכונות תלונתו. מי שמוסר מידע, שהוא מאמין בנכונותו, ייהנה מהגנת החוק, שאם לא כן עשויים בני הציבור להסס במסירת מידע, שמא יוכח, כי פעלו כפי שפעלו מתוך מניע אישי ולא מתוך מניע ציבורי כן.</w:t>
      </w:r>
    </w:p>
    <w:p w:rsidR="001417C6" w:rsidRPr="00E10C9D" w:rsidRDefault="001417C6" w:rsidP="001417C6">
      <w:pPr>
        <w:spacing w:line="360" w:lineRule="auto"/>
        <w:ind w:left="720"/>
        <w:jc w:val="both"/>
        <w:rPr>
          <w:rFonts w:ascii="David" w:hAnsi="David"/>
          <w:b/>
          <w:bCs/>
          <w:rtl/>
        </w:rPr>
      </w:pPr>
    </w:p>
    <w:p w:rsidR="001417C6" w:rsidRPr="00E10C9D" w:rsidRDefault="001417C6" w:rsidP="001417C6">
      <w:pPr>
        <w:spacing w:line="360" w:lineRule="auto"/>
        <w:ind w:left="720"/>
        <w:jc w:val="both"/>
        <w:rPr>
          <w:rFonts w:ascii="David" w:hAnsi="David"/>
          <w:b/>
          <w:bCs/>
          <w:rtl/>
        </w:rPr>
      </w:pPr>
      <w:r w:rsidRPr="00E10C9D">
        <w:rPr>
          <w:rFonts w:ascii="David" w:hAnsi="David"/>
          <w:b/>
          <w:bCs/>
          <w:rtl/>
        </w:rPr>
        <w:t xml:space="preserve">השאלה היא, האם המתלונן האמין בדברי התלונה שמסר. שונים פני הדברים בין מצב בו מדובר בתלונה כנה שהוגשה ללא בדיקת החשדות והתבררה בדיעבד כתלונה שאין בה ממש, ובין מצב בו מדובר בתלונת שווא מכוונת, דהיינו כאשר המתלונן יודע כי אין בה ממש. </w:t>
      </w:r>
    </w:p>
    <w:p w:rsidR="001417C6" w:rsidRPr="00E10C9D" w:rsidRDefault="001417C6" w:rsidP="00E10C9D">
      <w:pPr>
        <w:spacing w:line="360" w:lineRule="auto"/>
        <w:ind w:left="720"/>
        <w:jc w:val="both"/>
        <w:rPr>
          <w:rFonts w:ascii="David" w:hAnsi="David"/>
          <w:i/>
          <w:iCs/>
          <w:rtl/>
        </w:rPr>
      </w:pPr>
      <w:r w:rsidRPr="00E10C9D">
        <w:rPr>
          <w:rFonts w:ascii="David" w:hAnsi="David"/>
          <w:b/>
          <w:bCs/>
          <w:rtl/>
        </w:rPr>
        <w:t>ב</w:t>
      </w:r>
      <w:hyperlink r:id="rId23" w:history="1">
        <w:r w:rsidRPr="00E10C9D">
          <w:rPr>
            <w:rStyle w:val="Hyperlink"/>
            <w:rFonts w:ascii="David" w:hAnsi="David" w:cs="David"/>
            <w:b/>
            <w:bCs/>
            <w:color w:val="auto"/>
            <w:rtl/>
          </w:rPr>
          <w:t>ת.א. (ראשל"צ) 5001/06</w:t>
        </w:r>
      </w:hyperlink>
      <w:r w:rsidRPr="00E10C9D">
        <w:rPr>
          <w:rFonts w:ascii="David" w:hAnsi="David"/>
          <w:b/>
          <w:bCs/>
          <w:rtl/>
        </w:rPr>
        <w:t xml:space="preserve"> </w:t>
      </w:r>
      <w:r w:rsidRPr="00E10C9D">
        <w:rPr>
          <w:rFonts w:ascii="David" w:hAnsi="David"/>
          <w:b/>
          <w:bCs/>
          <w:u w:val="single"/>
          <w:rtl/>
        </w:rPr>
        <w:t>דבש נ' א.ב.</w:t>
      </w:r>
      <w:r w:rsidRPr="00E10C9D">
        <w:rPr>
          <w:rFonts w:ascii="David" w:hAnsi="David"/>
          <w:b/>
          <w:bCs/>
          <w:rtl/>
        </w:rPr>
        <w:t xml:space="preserve"> [פורסם בנבו] נקבע "אמנם, אין לאפשר ניצול לרעה של מנגנון התלונה, ככלי ניגוח או נקמה, וכאשר אין בתלונה כל אמת, תלונת שווא עלולה להצמיח עוולת נגישה ואף עוולת רשלנות . היא עלולה להצמיח גם עוולת לשון הרע. המסננת המבחינה בין תלונה עוולתית לבין תלונה מוגנת נעוצה בדרישת "תום-הלב", ...".</w:t>
      </w:r>
      <w:r w:rsidRPr="00E10C9D">
        <w:rPr>
          <w:rFonts w:ascii="David" w:hAnsi="David"/>
          <w:i/>
          <w:iCs/>
          <w:rtl/>
        </w:rPr>
        <w:t xml:space="preserve"> "</w:t>
      </w:r>
      <w:r w:rsidRPr="00E10C9D">
        <w:rPr>
          <w:rFonts w:ascii="David" w:hAnsi="David"/>
          <w:rtl/>
        </w:rPr>
        <w:t xml:space="preserve"> (</w:t>
      </w:r>
      <w:r w:rsidRPr="00E10C9D">
        <w:rPr>
          <w:rFonts w:ascii="David" w:hAnsi="David"/>
          <w:u w:val="single"/>
          <w:rtl/>
        </w:rPr>
        <w:t>ת.א. (ת"א) 30526-07-11</w:t>
      </w:r>
      <w:r w:rsidRPr="00E10C9D">
        <w:rPr>
          <w:rFonts w:ascii="David" w:hAnsi="David"/>
          <w:rtl/>
        </w:rPr>
        <w:t xml:space="preserve"> הנ"ל ס' 82-77)</w:t>
      </w:r>
      <w:r w:rsidRPr="00E10C9D">
        <w:rPr>
          <w:rFonts w:ascii="David" w:hAnsi="David"/>
          <w:i/>
          <w:iCs/>
          <w:rtl/>
        </w:rPr>
        <w:t>.</w:t>
      </w:r>
    </w:p>
    <w:p w:rsidR="001417C6" w:rsidRPr="00E10C9D" w:rsidRDefault="001417C6" w:rsidP="001417C6">
      <w:pPr>
        <w:spacing w:line="360" w:lineRule="auto"/>
        <w:ind w:left="720"/>
        <w:jc w:val="both"/>
        <w:rPr>
          <w:rFonts w:ascii="David" w:hAnsi="David"/>
          <w:i/>
          <w:iCs/>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24.</w:t>
      </w:r>
      <w:r w:rsidRPr="00E10C9D">
        <w:rPr>
          <w:rFonts w:ascii="David" w:hAnsi="David"/>
          <w:rtl/>
        </w:rPr>
        <w:tab/>
        <w:t>בענייננו יש לבחון האם האמינו התובעות 'בעת הגשת תלונתן למשטרה' שהתיאור המובא בתלונתן אמת הוא. כאן אמורה דרכן של הנתבעות והקביעה תבחן להלן ביחס לכל אחת מהן:</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r>
      <w:r w:rsidRPr="00E10C9D">
        <w:rPr>
          <w:rFonts w:ascii="David" w:hAnsi="David"/>
          <w:b/>
          <w:bCs/>
          <w:u w:val="single"/>
          <w:rtl/>
        </w:rPr>
        <w:t>החָברה</w:t>
      </w:r>
      <w:r w:rsidRPr="00E10C9D">
        <w:rPr>
          <w:rFonts w:ascii="David" w:hAnsi="David"/>
          <w:rtl/>
        </w:rPr>
        <w:t>:</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 xml:space="preserve">דין התביעה כנגד החָברה להידחות על הסף גם בהתעלם מהעניין הפרוצדורלי שבהעדר החלטה מפורשת לצרפה להליך. התובע טוען כלפי החָברה שהתלונה נרקמה על ידי הנתבעות יחדיו. אין בחומר שבפני עדות לכך. נטען עוד על ידי התובע שהתלונה שהגישה הנתבעת בסיוע נתבעת 2 הינה שקרית.  גם לטענה זו אין כל בסיס בראיות. ההפך הוא הנכון. החָברה זומנה לתת עדות בתלונה שנחקרה במסגרת </w:t>
      </w:r>
      <w:r w:rsidRPr="00E10C9D">
        <w:rPr>
          <w:rFonts w:ascii="David" w:hAnsi="David"/>
          <w:u w:val="single"/>
          <w:rtl/>
        </w:rPr>
        <w:t>פל"א 194350/2019</w:t>
      </w:r>
      <w:r w:rsidRPr="00E10C9D">
        <w:rPr>
          <w:rFonts w:ascii="David" w:hAnsi="David"/>
          <w:rtl/>
        </w:rPr>
        <w:t xml:space="preserve"> (ראו עימות שנערך במשטרה בין מ.ל-א. צורף כנספח 8 לתביעת התובע) ממנו עולה (שורות 3-2) שמדובר בתלונתו של מ. ולא בתלונה של א. או החָברה.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בדיון שהתקיים בכתב האישום שהוגש כנגד מ. (</w:t>
      </w:r>
      <w:r w:rsidRPr="00E10C9D">
        <w:rPr>
          <w:rFonts w:ascii="David" w:hAnsi="David"/>
          <w:u w:val="single"/>
          <w:rtl/>
        </w:rPr>
        <w:t xml:space="preserve">ת.פ. 27651-11-19 </w:t>
      </w:r>
      <w:r w:rsidRPr="00E10C9D">
        <w:rPr>
          <w:rFonts w:ascii="David" w:hAnsi="David"/>
          <w:rtl/>
        </w:rPr>
        <w:t>הנ"ל)  העידה  החָברה "</w:t>
      </w:r>
      <w:r w:rsidRPr="00E10C9D">
        <w:rPr>
          <w:rFonts w:ascii="David" w:hAnsi="David"/>
          <w:b/>
          <w:bCs/>
          <w:rtl/>
        </w:rPr>
        <w:t>ש. את טוענת שהוא נתן לך מכה ולא חשבת להתקשר למשטרה? ת.  לא חשבתי וגם לא התכוונתי ללכת למשטרה כי עזרתי עם הילדים, רצנו הביתה והזמינו את א. למשטרה והיא סיפרה כל מה שהיה והזמינו אותי למשטרה למחרת. אני נשארתי עם הילדים כשהזמינו את א. למשטרה</w:t>
      </w:r>
      <w:r w:rsidRPr="00E10C9D">
        <w:rPr>
          <w:rFonts w:ascii="David" w:hAnsi="David"/>
          <w:rtl/>
        </w:rPr>
        <w:t>" (עמ' 44 ש' 32-29) (צורף על ידי התובע וסומן נספח 9).</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lastRenderedPageBreak/>
        <w:t>בהמשך נשאלה "</w:t>
      </w:r>
      <w:r w:rsidRPr="00E10C9D">
        <w:rPr>
          <w:rFonts w:ascii="David" w:hAnsi="David"/>
          <w:b/>
          <w:bCs/>
          <w:rtl/>
        </w:rPr>
        <w:t>ש. כשהגעת למשטרה למחרת למסור עדות, למה לא הראית להם את הסימן? ת. כי אני קודם כל לא נכנסת למשטרה, לא אחת שמתלוננת, וחשבתי שזה יעבור הכל ככה, לא חשבתי שזה יגיע למשטרה ולבית המשפט. חוץ מזה  אני מפחדת מהנאשם זה נכון</w:t>
      </w:r>
      <w:r w:rsidRPr="00E10C9D">
        <w:rPr>
          <w:rFonts w:ascii="David" w:hAnsi="David"/>
          <w:rtl/>
        </w:rPr>
        <w:t xml:space="preserve">" (ש' 2-1 עמ' 45) (צורף על ידי התובע וסומן נספח 9).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 xml:space="preserve">יודגש, אין בעצם ההחלטה של המאשימה לחזור בה מכתב האישום להניח אפריורי שהחָברה (או א. בהתאמה) העידה עדות שאינה אמת. ניהול הליך פלילי מחייב, כידוע, רמת וודאות גבוהה יותר מהליך אזרחי עד כדי למעלה מכול ספק סביר. אין לפני כל מידע מה עמד לנגד עיני כבוד השופט ברגר שעה שהמליץ על חזרה מאישום כנטען, אין לפני מה היו שיקולי המאשימה בהחלטתה. אלו יכולים לנבוע מהרבה סיבות לבד מהמלצתו של כבוד השופט הדן בתיק כמו למשל כשל בניהול החקירה, איסוף ראיות וכיב'. ברי על כן שהחלטה על חזרה מכתב אישום אינה אפריורי ובהכרח שמדובר בעדות שאינה אמת.  </w:t>
      </w:r>
    </w:p>
    <w:p w:rsidR="001417C6" w:rsidRPr="00E10C9D" w:rsidRDefault="001417C6" w:rsidP="001417C6">
      <w:pPr>
        <w:spacing w:line="360" w:lineRule="auto"/>
        <w:ind w:left="720"/>
        <w:jc w:val="both"/>
        <w:rPr>
          <w:rFonts w:ascii="David" w:hAnsi="David"/>
          <w:rtl/>
        </w:rPr>
      </w:pPr>
      <w:r w:rsidRPr="00E10C9D">
        <w:rPr>
          <w:rFonts w:ascii="David" w:hAnsi="David"/>
          <w:rtl/>
        </w:rPr>
        <w:t xml:space="preserve">  </w:t>
      </w:r>
    </w:p>
    <w:p w:rsidR="001417C6" w:rsidRPr="00E10C9D" w:rsidRDefault="001417C6" w:rsidP="001417C6">
      <w:pPr>
        <w:spacing w:line="360" w:lineRule="auto"/>
        <w:ind w:left="720"/>
        <w:jc w:val="both"/>
        <w:rPr>
          <w:rFonts w:ascii="David" w:hAnsi="David"/>
          <w:rtl/>
        </w:rPr>
      </w:pPr>
      <w:r w:rsidRPr="00E10C9D">
        <w:rPr>
          <w:rFonts w:ascii="David" w:hAnsi="David"/>
          <w:rtl/>
        </w:rPr>
        <w:t xml:space="preserve">אם בכל האמור אין די כדי ללמד על העדר יריבות בין התובע לחָברה, במסגרת דיון ההוכחות שהתקיים ביום 20/12/21 החָברה לא עומתה עם טענה כלשהי מטענותיו של התובע כלפיה. הנה לפנינו עדות במשטרה שלא ניתן לייחס לה כוונת זדון אשר תארה את הדברים כפי שהיא חוותה את האירוע.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hanging="720"/>
        <w:jc w:val="both"/>
        <w:rPr>
          <w:rFonts w:ascii="David" w:hAnsi="David"/>
          <w:u w:val="single"/>
          <w:rtl/>
        </w:rPr>
      </w:pPr>
      <w:r w:rsidRPr="00E10C9D">
        <w:rPr>
          <w:rFonts w:ascii="David" w:hAnsi="David"/>
          <w:rtl/>
        </w:rPr>
        <w:t>25.</w:t>
      </w:r>
      <w:r w:rsidRPr="00E10C9D">
        <w:rPr>
          <w:rFonts w:ascii="David" w:hAnsi="David"/>
          <w:rtl/>
        </w:rPr>
        <w:tab/>
      </w:r>
      <w:r w:rsidRPr="00E10C9D">
        <w:rPr>
          <w:rFonts w:ascii="David" w:hAnsi="David"/>
          <w:u w:val="single"/>
          <w:rtl/>
        </w:rPr>
        <w:t>לאור האמור התביעה כנגד החָברה, נתבעת 2 נדחית.</w:t>
      </w:r>
    </w:p>
    <w:p w:rsidR="001417C6" w:rsidRPr="00E10C9D" w:rsidRDefault="001417C6" w:rsidP="001417C6">
      <w:pPr>
        <w:spacing w:line="360" w:lineRule="auto"/>
        <w:ind w:left="720"/>
        <w:jc w:val="both"/>
        <w:rPr>
          <w:rFonts w:ascii="David" w:hAnsi="David"/>
          <w:u w:val="single"/>
          <w:rtl/>
        </w:rPr>
      </w:pPr>
      <w:r w:rsidRPr="00E10C9D">
        <w:rPr>
          <w:rFonts w:ascii="David" w:hAnsi="David"/>
          <w:u w:val="single"/>
          <w:rtl/>
        </w:rPr>
        <w:t xml:space="preserve">התובע יישא בהוצאות משפט של הנתבעת 2 בסך 3,000 ₪. </w:t>
      </w:r>
    </w:p>
    <w:p w:rsidR="001417C6" w:rsidRPr="00E10C9D" w:rsidRDefault="001417C6" w:rsidP="001417C6">
      <w:pPr>
        <w:spacing w:line="360" w:lineRule="auto"/>
        <w:ind w:left="720"/>
        <w:jc w:val="both"/>
        <w:rPr>
          <w:rFonts w:ascii="David" w:hAnsi="David"/>
          <w:u w:val="single"/>
          <w:rtl/>
        </w:rPr>
      </w:pPr>
    </w:p>
    <w:p w:rsidR="001417C6" w:rsidRPr="00E10C9D" w:rsidRDefault="001417C6" w:rsidP="001417C6">
      <w:pPr>
        <w:spacing w:line="360" w:lineRule="auto"/>
        <w:ind w:left="720" w:hanging="720"/>
        <w:jc w:val="both"/>
        <w:rPr>
          <w:rFonts w:ascii="David" w:hAnsi="David"/>
          <w:b/>
          <w:bCs/>
          <w:rtl/>
        </w:rPr>
      </w:pPr>
      <w:r w:rsidRPr="00E10C9D">
        <w:rPr>
          <w:rFonts w:ascii="David" w:hAnsi="David"/>
          <w:rtl/>
        </w:rPr>
        <w:tab/>
      </w:r>
      <w:r w:rsidRPr="00E10C9D">
        <w:rPr>
          <w:rFonts w:ascii="David" w:hAnsi="David"/>
          <w:b/>
          <w:bCs/>
          <w:u w:val="single"/>
          <w:rtl/>
        </w:rPr>
        <w:t>בת הזוג (א.)</w:t>
      </w:r>
      <w:r w:rsidRPr="00E10C9D">
        <w:rPr>
          <w:rFonts w:ascii="David" w:hAnsi="David"/>
          <w:b/>
          <w:bCs/>
          <w:rtl/>
        </w:rPr>
        <w:t xml:space="preserve">: </w:t>
      </w:r>
    </w:p>
    <w:p w:rsidR="001417C6" w:rsidRPr="00E10C9D" w:rsidRDefault="001417C6" w:rsidP="001417C6">
      <w:pPr>
        <w:spacing w:line="360" w:lineRule="auto"/>
        <w:ind w:left="720" w:hanging="720"/>
        <w:jc w:val="both"/>
        <w:rPr>
          <w:rFonts w:ascii="David" w:hAnsi="David"/>
          <w:b/>
          <w:bCs/>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26.</w:t>
      </w:r>
      <w:r w:rsidRPr="00E10C9D">
        <w:rPr>
          <w:rFonts w:ascii="David" w:hAnsi="David"/>
          <w:rtl/>
        </w:rPr>
        <w:tab/>
        <w:t>כזכור הבסיס לתביעתו של התובע בעוולה הנזיקית ולשון הרע הוא הגשת  כתב האישום כנגדו. בסעיף 13 לכתב התביעה כתב מ. "</w:t>
      </w:r>
      <w:r w:rsidRPr="00E10C9D">
        <w:rPr>
          <w:rFonts w:ascii="David" w:hAnsi="David"/>
          <w:b/>
          <w:bCs/>
          <w:rtl/>
        </w:rPr>
        <w:t>בגין תלונה שהוגשה ע"י נתבעת 1 כנגד התובע ביום 5/5/2019 (להלן: "התלונה הפלילית") נפתח כנגד התובע הליך פלילי (להלן: "ההליך הפלילי") והוגש כנגדו כתב אישום בגין תקיפה  סתם</w:t>
      </w:r>
      <w:r w:rsidRPr="00E10C9D">
        <w:rPr>
          <w:rFonts w:ascii="David" w:hAnsi="David"/>
          <w:rtl/>
        </w:rPr>
        <w:t xml:space="preserve"> ...". בהמשך העידה א. בעימות במענה לשאלה שמ. פגע בחברה "</w:t>
      </w:r>
      <w:r w:rsidRPr="00E10C9D">
        <w:rPr>
          <w:rFonts w:ascii="David" w:hAnsi="David"/>
          <w:b/>
          <w:bCs/>
          <w:rtl/>
        </w:rPr>
        <w:t>ת. כן הוא נתן לה בעיטה עם הרגל בצלעות ופגע גם בג</w:t>
      </w:r>
      <w:r w:rsidRPr="00E10C9D">
        <w:rPr>
          <w:rFonts w:ascii="David" w:hAnsi="David"/>
          <w:rtl/>
        </w:rPr>
        <w:t>." (בנם של מ. ו- א. – מ.ל)</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 xml:space="preserve">הנה כי כן הבסיס אינו תלונה של א. ולא של החָברה, כאמור, אלא עדותן במשטרה על המאורעות במסגרת תלונה שהגיש מ. כנגד א.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לתביעתו לא צירף את אותה תלונה (שאינה "התלונה הראשונה" - להלן) שכן ההחלטה להעמידו לדין נבעה מעדותן במשטרה. וכך כתב בכתב תביעתו: "</w:t>
      </w:r>
      <w:r w:rsidRPr="00E10C9D">
        <w:rPr>
          <w:rFonts w:ascii="David" w:hAnsi="David"/>
          <w:b/>
          <w:bCs/>
          <w:rtl/>
        </w:rPr>
        <w:t xml:space="preserve">25. התובע מתקשר למשטרה ומתלונן על התקיפה ועל הטלפון שנגנב לו. </w:t>
      </w:r>
      <w:r w:rsidRPr="00E10C9D">
        <w:rPr>
          <w:rFonts w:ascii="David" w:hAnsi="David"/>
          <w:b/>
          <w:bCs/>
          <w:u w:val="single"/>
          <w:rtl/>
        </w:rPr>
        <w:t>העתק דו"ח פעולה מס' 89885181 מצ"ב נספח 4 לכתב התביעה</w:t>
      </w:r>
      <w:r w:rsidRPr="00E10C9D">
        <w:rPr>
          <w:rFonts w:ascii="David" w:hAnsi="David"/>
          <w:b/>
          <w:bCs/>
          <w:rtl/>
        </w:rPr>
        <w:t xml:space="preserve">  26. בהמשך של אותו ערב (למעשה ביום 6/5/2019 היות וזה היה לאחר חצות) זומן התובע למשטרה ולמרבה הפתעתו מצא את עצמו נחקר באזהרה על </w:t>
      </w:r>
      <w:r w:rsidRPr="00E10C9D">
        <w:rPr>
          <w:rFonts w:ascii="David" w:hAnsi="David"/>
          <w:b/>
          <w:bCs/>
          <w:rtl/>
        </w:rPr>
        <w:lastRenderedPageBreak/>
        <w:t>תקיפת חברתה של אשתו, נתבעת מס' 2)</w:t>
      </w:r>
      <w:r w:rsidRPr="00E10C9D">
        <w:rPr>
          <w:rFonts w:ascii="David" w:hAnsi="David"/>
          <w:rtl/>
        </w:rPr>
        <w:t xml:space="preserve">" – לא ברור אם כן מה החבות שקמה לא. כלפי מ.  מכוח תלונה שלא הוגשה.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 xml:space="preserve">ראוי להדגיש שיש הבדל בין טענה שבה פלוני  יוזם פניה למשטרה בהגשת תלונה על אלמוני לבין מצב באותו פלוני מזומן לתת עדות במשטרה בתלונתו של אלמוני כלפיו. </w:t>
      </w:r>
    </w:p>
    <w:p w:rsidR="001417C6" w:rsidRPr="00E10C9D" w:rsidRDefault="001417C6" w:rsidP="001417C6">
      <w:pPr>
        <w:spacing w:line="360" w:lineRule="auto"/>
        <w:ind w:left="720"/>
        <w:jc w:val="both"/>
        <w:rPr>
          <w:rFonts w:ascii="David" w:hAnsi="David"/>
          <w:rtl/>
        </w:rPr>
      </w:pPr>
      <w:r w:rsidRPr="00E10C9D">
        <w:rPr>
          <w:rFonts w:ascii="David" w:hAnsi="David"/>
          <w:rtl/>
        </w:rPr>
        <w:t>הדברים עולים גם מכוח העימות שנערך במשטרה ביום  6/5/2019  וצורף כנספח 4. מ. נשאל "</w:t>
      </w:r>
      <w:r w:rsidRPr="00E10C9D">
        <w:rPr>
          <w:rFonts w:ascii="David" w:hAnsi="David"/>
          <w:b/>
          <w:bCs/>
          <w:rtl/>
        </w:rPr>
        <w:t>מי יושבת כאן ועל מה התלוננת נגדה? ת. א. על תקיפה איומים וחבלה</w:t>
      </w:r>
      <w:r w:rsidRPr="00E10C9D">
        <w:rPr>
          <w:rFonts w:ascii="David" w:hAnsi="David"/>
          <w:rtl/>
        </w:rPr>
        <w:t>...".</w:t>
      </w:r>
    </w:p>
    <w:p w:rsidR="001417C6" w:rsidRPr="00E10C9D" w:rsidRDefault="001417C6" w:rsidP="001417C6">
      <w:pPr>
        <w:spacing w:line="360" w:lineRule="auto"/>
        <w:ind w:left="720"/>
        <w:jc w:val="both"/>
        <w:rPr>
          <w:rFonts w:ascii="David" w:hAnsi="David"/>
          <w:rtl/>
        </w:rPr>
      </w:pPr>
      <w:r w:rsidRPr="00E10C9D">
        <w:rPr>
          <w:rFonts w:ascii="David" w:hAnsi="David"/>
          <w:rtl/>
        </w:rPr>
        <w:t xml:space="preserve"> </w:t>
      </w:r>
    </w:p>
    <w:p w:rsidR="001417C6" w:rsidRPr="00E10C9D" w:rsidRDefault="001417C6" w:rsidP="001417C6">
      <w:pPr>
        <w:spacing w:line="360" w:lineRule="auto"/>
        <w:ind w:left="720"/>
        <w:jc w:val="both"/>
        <w:rPr>
          <w:rFonts w:ascii="David" w:hAnsi="David"/>
          <w:rtl/>
        </w:rPr>
      </w:pPr>
      <w:r w:rsidRPr="00E10C9D">
        <w:rPr>
          <w:rFonts w:ascii="David" w:hAnsi="David"/>
          <w:rtl/>
        </w:rPr>
        <w:t xml:space="preserve">משעה שהתובע שם יהבו על הגשת כתב האישום הרי שלגישתו די בכך שהמאשימה חזרה בה מכתב האישום נגדו כדי לראות בעדותה של א. (שכן אין תלונה מכוחה הוגשה כתב האישום) כבסיס מספיק לחיובה הן מכוח פקודת הנזיקין והן לשון הרע.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 xml:space="preserve">מ. הפנה בכתב תביעתו לתלונתה של א. מה שכונה על ידו "התלונה הראשונה" – נספח 2 לכתב התביעה) אלא שברור שלא מכוח תלונה זו הוגש כתב האישום מושא התביעה </w:t>
      </w:r>
      <w:r w:rsidRPr="00E10C9D">
        <w:rPr>
          <w:rFonts w:ascii="David" w:hAnsi="David"/>
          <w:b/>
          <w:bCs/>
          <w:rtl/>
        </w:rPr>
        <w:t>"(לא מדובר בתלונה שבגינה נפתח ההליך)"</w:t>
      </w:r>
      <w:r w:rsidRPr="00E10C9D">
        <w:rPr>
          <w:rFonts w:ascii="David" w:hAnsi="David"/>
          <w:rtl/>
        </w:rPr>
        <w:t xml:space="preserve"> כדברי מ. עצמו בכתב התביעה כיון שכתב האישום הוא תולדה של תלונה שהוא הגיש למשטרה ומכוחה זומנה החָברה להעיד ולאחר שהעידה את דבריה החליטה המשטרה להעמידו לדין. הדברים עולים מכתב האישום עצמו. כתב האישום מייחס לו פגיעה בחברה "</w:t>
      </w:r>
      <w:r w:rsidRPr="00E10C9D">
        <w:rPr>
          <w:rFonts w:ascii="David" w:hAnsi="David"/>
          <w:b/>
          <w:bCs/>
          <w:rtl/>
        </w:rPr>
        <w:t>מיד ובסמוך תקף הנאשם את י. שלא כדין בכך שבעט בה בצלעותיה</w:t>
      </w:r>
      <w:r w:rsidRPr="00E10C9D">
        <w:rPr>
          <w:rFonts w:ascii="David" w:hAnsi="David"/>
          <w:rtl/>
        </w:rPr>
        <w:t>".</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 xml:space="preserve">אין לפני כל עדות לכך שא. לא העידה במשטרה בתום לב. עצם הבקשה לחזור מכתב האישום, בהסכמתו, אינה מהווה ראיה לנכונות טענות מ. ראש וראשון הייתה שמורה למ. הזכות להמשיך בהליך הפלילי להוכיח חפותו והוא בחר לחזור בו מכפירתו. די בכך כדי לדחות תביעתו. אם בכך לא די  החזרה מכתב האישום לא נעשתה מחוסר אשמה אלא בשל קושי ראייתי כזה או אחר בהוכחת עובדות כתב האישום, קשיים שאיני מודע להם. ברם,  אין בקשיים אלו כשלעצמם להורות שעדותה אינה עדות אמת או שהוגשה ונאמרה בחוסר תום לב.  </w:t>
      </w:r>
    </w:p>
    <w:p w:rsidR="001417C6" w:rsidRPr="00E10C9D" w:rsidRDefault="001417C6" w:rsidP="001417C6">
      <w:pPr>
        <w:spacing w:line="360" w:lineRule="auto"/>
        <w:ind w:left="720"/>
        <w:jc w:val="both"/>
        <w:rPr>
          <w:rFonts w:ascii="David" w:hAnsi="David"/>
          <w:rtl/>
        </w:rPr>
      </w:pPr>
      <w:r w:rsidRPr="00E10C9D">
        <w:rPr>
          <w:rFonts w:ascii="David" w:hAnsi="David"/>
          <w:rtl/>
        </w:rPr>
        <w:t>הדברים שהובאו לעיל בהתייחסות לחָברה לעניין נפקות חזרת המאשימה מכתב האישום ואי יצירת חזקה שהדבר נעשה בהכרח בשל אי העדת אמת נכונים גם ביחס לא.</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חיזוק לתובנה זו נלמד מכך שבחקירתה נגדית לא שאלה א. דבר וחצי דבר בהקשר לעדותה במשטרה ולא עומתה עם הדברים.  יחד עם זאת בסיכומיו טען מ. ש"</w:t>
      </w:r>
      <w:r w:rsidRPr="00E10C9D">
        <w:rPr>
          <w:rFonts w:ascii="David" w:hAnsi="David"/>
          <w:b/>
          <w:bCs/>
          <w:rtl/>
        </w:rPr>
        <w:t>בפועל על סמך עדותה, הוגש כתב אישום על תקיפת נתבעת 2</w:t>
      </w:r>
      <w:r w:rsidRPr="00E10C9D">
        <w:rPr>
          <w:rFonts w:ascii="David" w:hAnsi="David"/>
          <w:rtl/>
        </w:rPr>
        <w:t xml:space="preserve">"  צא וחשוב מניין למ. שהגשת האישום לא התבססה על עדותה של החָברה? הרי כתב האישום ייחס למ. פגיעה פיסית בחָברה ולא בא.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 xml:space="preserve">זאת ועוד. לו רצתה א. לנהוג על מנת להכפיש את מ. ולהעליל עליו מה הטעם לא הקדימה והגישה תלונה במשטרה כנגדו? לו, כטענתו של מ. הייתה א. חסרת תום לב הייתה מזדרזת ומגישה תלונה לפניו. </w:t>
      </w:r>
    </w:p>
    <w:p w:rsidR="001417C6" w:rsidRPr="00E10C9D" w:rsidRDefault="001417C6" w:rsidP="001417C6">
      <w:pPr>
        <w:spacing w:line="360" w:lineRule="auto"/>
        <w:ind w:left="720"/>
        <w:jc w:val="both"/>
        <w:rPr>
          <w:rFonts w:ascii="David" w:hAnsi="David"/>
          <w:rtl/>
        </w:rPr>
      </w:pPr>
      <w:r w:rsidRPr="00E10C9D">
        <w:rPr>
          <w:rFonts w:ascii="David" w:hAnsi="David"/>
          <w:rtl/>
        </w:rPr>
        <w:lastRenderedPageBreak/>
        <w:t>סיכומם של דברים לא מדובר בתלונה שהוגשה על ידי מי מהנתבעות. התובע הוא זה שהגיש תלונה כנגד הנתבעת 1, א. ולאור עדויותיהן על אלימות של א. כנגדו החליטה היחידה החוקרת להעביר התיק לעיון תביעות ואלה החליטו על הגשת כתב אישום כנגד מ. בעילה של תקיפת החָברה. אין בתיאור המובא לעיל כדי להניח את הבסיס לתביעה של מ. כנגד א. בהיבט הנזיקי.</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14" w:hanging="630"/>
        <w:jc w:val="both"/>
        <w:rPr>
          <w:rFonts w:ascii="David" w:hAnsi="David"/>
          <w:rtl/>
        </w:rPr>
      </w:pPr>
      <w:r w:rsidRPr="00E10C9D">
        <w:rPr>
          <w:rFonts w:ascii="David" w:hAnsi="David"/>
          <w:rtl/>
        </w:rPr>
        <w:t>27.</w:t>
      </w:r>
      <w:r w:rsidRPr="00E10C9D">
        <w:rPr>
          <w:rFonts w:ascii="David" w:hAnsi="David"/>
          <w:rtl/>
        </w:rPr>
        <w:tab/>
        <w:t>הדברים יפים גם לצורך ביסוס טענת לשון הרע. לצורך מכך  העלה מ. תיאור של שיחה של ידיד של א. עם אביו והציג דברים מתוך שיחה שהתקיימה בין אותו ידיד לאביו, שיחה שגרמה לאביו  "</w:t>
      </w:r>
      <w:r w:rsidRPr="00E10C9D">
        <w:rPr>
          <w:rFonts w:ascii="David" w:hAnsi="David"/>
          <w:b/>
          <w:bCs/>
          <w:rtl/>
        </w:rPr>
        <w:t>המבוגר של התובע שאינו בקו הבריאות</w:t>
      </w:r>
      <w:r w:rsidRPr="00E10C9D">
        <w:rPr>
          <w:rFonts w:ascii="David" w:hAnsi="David"/>
          <w:rtl/>
        </w:rPr>
        <w:t>" עגמת נפש ש"</w:t>
      </w:r>
      <w:r w:rsidRPr="00E10C9D">
        <w:rPr>
          <w:rFonts w:ascii="David" w:hAnsi="David"/>
          <w:b/>
          <w:bCs/>
          <w:rtl/>
        </w:rPr>
        <w:t>אין צורך להכביר במילים על עגמת הנפש שאחזה באביו של התובע למשמע דברי ההבל ולזות השפתיים בגנות בנו, מפי ידידה של נתבעת 1</w:t>
      </w:r>
      <w:r w:rsidRPr="00E10C9D">
        <w:rPr>
          <w:rFonts w:ascii="David" w:hAnsi="David"/>
          <w:rtl/>
        </w:rPr>
        <w:t>".</w:t>
      </w:r>
    </w:p>
    <w:p w:rsidR="001417C6" w:rsidRPr="00E10C9D" w:rsidRDefault="001417C6" w:rsidP="001417C6">
      <w:pPr>
        <w:spacing w:line="360" w:lineRule="auto"/>
        <w:ind w:left="714" w:hanging="63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הקורא את דברי מ. ביחס לדברים שנאמרו בשיחה שבין אותו ידיד ח. עם אביו שהיה בהם כדי לגרום לאביו של מ. (להלן-</w:t>
      </w:r>
      <w:r w:rsidRPr="00E10C9D">
        <w:rPr>
          <w:rFonts w:ascii="David" w:hAnsi="David"/>
          <w:b/>
          <w:bCs/>
          <w:rtl/>
        </w:rPr>
        <w:t>הסב</w:t>
      </w:r>
      <w:r w:rsidRPr="00E10C9D">
        <w:rPr>
          <w:rFonts w:ascii="David" w:hAnsi="David"/>
          <w:rtl/>
        </w:rPr>
        <w:t>)  לעגמת הנפש של הסב ראוי להדגיש מספר דברים שיש  בהם להקרין על התביעה ודרך הצגת הדברים. למקרא הדברים של מ. עולה תמונה של סב מבוגר אשר מקבל שיחת טלפון מידיד מסוים של כלתו לשעבר שמטיח בו ללא כל אזהרה דברים קשים הקשורים בהתנהגות אלימה של בנו כלפי נכדיו. אכן ידיעה שיכולה לגרום לעגמת נפש קשה. אך האם בין ציור זה בכתב התביעה למציאות יש קשר? התשובה לכך, כפי שיובא להלן, היא לא רבתי!</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 xml:space="preserve">גם אם אתעלם מפגמים פרוצדורליים שקשורים בנספח זה לכתב התביעה (ההקלטה עצמה לא צורפה אלא התמליל, המתמללת לא זומנה לעדות וחמור מכך האב עצמו לא התייצב לדיון על מנת להעיד על הדברים העולים מהתמלול.) כנראה לא בכדי לא זומן הסב לעדות שכן התמונה העולה מהשיחה עומדת במהופך לזו אשר הוצגה בכתב התביעה (לעניין אי זימונו של עד לעדות והמשמעות הנלווית לכך ראו להלן בסעיף 39 לפסק הדין).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מי שיזם את השיחה עם אותו ידיד הוא הסב וכדבריו לא בפעם הראשונה. הסב: "</w:t>
      </w:r>
      <w:r w:rsidRPr="00E10C9D">
        <w:rPr>
          <w:rFonts w:ascii="David" w:hAnsi="David"/>
          <w:b/>
          <w:bCs/>
          <w:rtl/>
        </w:rPr>
        <w:t>הלו שוב פעם ערב טוב לך, תגיד לי</w:t>
      </w:r>
      <w:r w:rsidRPr="00E10C9D">
        <w:rPr>
          <w:rFonts w:ascii="David" w:hAnsi="David"/>
          <w:rtl/>
        </w:rPr>
        <w:t xml:space="preserve">... ".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בהמשך מתחקר הסב את אותו ידיד על מערכות יחסים שלו. במענה עונה לו הידיד "</w:t>
      </w:r>
      <w:r w:rsidRPr="00E10C9D">
        <w:rPr>
          <w:rFonts w:ascii="David" w:hAnsi="David"/>
          <w:b/>
          <w:bCs/>
          <w:rtl/>
        </w:rPr>
        <w:t>תגיד לי שאתה מתקשר בטלפון בשעה כזאת, כבר 3-4 פעמים מתקשר לטלפון, מה אתה רוצה ממני אחרי שנה וחצי</w:t>
      </w:r>
      <w:r w:rsidRPr="00E10C9D">
        <w:rPr>
          <w:rFonts w:ascii="David" w:hAnsi="David"/>
          <w:rtl/>
        </w:rPr>
        <w:t>?" ממשיך הסב "</w:t>
      </w:r>
      <w:r w:rsidRPr="00E10C9D">
        <w:rPr>
          <w:rFonts w:ascii="David" w:hAnsi="David"/>
          <w:b/>
          <w:bCs/>
          <w:rtl/>
        </w:rPr>
        <w:t>אתה, בוא נשב ב-4 עיניים נדבר. בוא</w:t>
      </w:r>
      <w:r w:rsidRPr="00E10C9D">
        <w:rPr>
          <w:rFonts w:ascii="David" w:hAnsi="David"/>
          <w:rtl/>
        </w:rPr>
        <w:t xml:space="preserve">, </w:t>
      </w:r>
      <w:r w:rsidRPr="00E10C9D">
        <w:rPr>
          <w:rFonts w:ascii="David" w:hAnsi="David"/>
          <w:b/>
          <w:bCs/>
          <w:rtl/>
        </w:rPr>
        <w:t>אתה רוצה מקום ציבורי? אתה, איפה שאתה רוצה</w:t>
      </w:r>
      <w:r w:rsidRPr="00E10C9D">
        <w:rPr>
          <w:rFonts w:ascii="David" w:hAnsi="David"/>
          <w:rtl/>
        </w:rPr>
        <w:t xml:space="preserve">". </w:t>
      </w:r>
    </w:p>
    <w:p w:rsidR="001417C6" w:rsidRPr="00E10C9D" w:rsidRDefault="001417C6" w:rsidP="001417C6">
      <w:pPr>
        <w:spacing w:line="360" w:lineRule="auto"/>
        <w:ind w:left="720"/>
        <w:jc w:val="both"/>
        <w:rPr>
          <w:rFonts w:ascii="David" w:hAnsi="David"/>
          <w:rtl/>
        </w:rPr>
      </w:pPr>
      <w:r w:rsidRPr="00E10C9D">
        <w:rPr>
          <w:rFonts w:ascii="David" w:hAnsi="David"/>
          <w:rtl/>
        </w:rPr>
        <w:t xml:space="preserve">כשאותו ידיד מבקש ממנו לא לצלצל אליו יותר משיב לו הסב: " </w:t>
      </w:r>
      <w:r w:rsidRPr="00E10C9D">
        <w:rPr>
          <w:rFonts w:ascii="David" w:hAnsi="David"/>
          <w:b/>
          <w:bCs/>
          <w:rtl/>
        </w:rPr>
        <w:t>שאני אמצא לנכון אני אתקשר אליך בשביל לקבל תשובות ממך</w:t>
      </w:r>
      <w:r w:rsidRPr="00E10C9D">
        <w:rPr>
          <w:rFonts w:ascii="David" w:hAnsi="David"/>
          <w:rtl/>
        </w:rPr>
        <w:t>".</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הסב לא הרפה המשיך והמשיך  והתריס "</w:t>
      </w:r>
      <w:r w:rsidRPr="00E10C9D">
        <w:rPr>
          <w:rFonts w:ascii="David" w:hAnsi="David"/>
          <w:b/>
          <w:bCs/>
          <w:rtl/>
        </w:rPr>
        <w:t>אני צילמתי אותך, אסור לך להתקרב לבית</w:t>
      </w:r>
      <w:r w:rsidRPr="00E10C9D">
        <w:rPr>
          <w:rFonts w:ascii="David" w:hAnsi="David"/>
          <w:rtl/>
        </w:rPr>
        <w:t>." הידיד מתפלא "</w:t>
      </w:r>
      <w:r w:rsidRPr="00E10C9D">
        <w:rPr>
          <w:rFonts w:ascii="David" w:hAnsi="David"/>
          <w:b/>
          <w:bCs/>
          <w:rtl/>
        </w:rPr>
        <w:t>אתה ראית אותי פעם אחת בתוך הבית? אתר ראית אותי וצילמת</w:t>
      </w:r>
      <w:r w:rsidRPr="00E10C9D">
        <w:rPr>
          <w:rFonts w:ascii="David" w:hAnsi="David"/>
          <w:rtl/>
        </w:rPr>
        <w:t>..." הסב  "</w:t>
      </w:r>
      <w:r w:rsidRPr="00E10C9D">
        <w:rPr>
          <w:rFonts w:ascii="David" w:hAnsi="David"/>
          <w:b/>
          <w:bCs/>
          <w:rtl/>
        </w:rPr>
        <w:t>פעמיים, פעמיים</w:t>
      </w:r>
      <w:r w:rsidRPr="00E10C9D">
        <w:rPr>
          <w:rFonts w:ascii="David" w:hAnsi="David"/>
          <w:rtl/>
        </w:rPr>
        <w:t>"  הידיד משיב: "</w:t>
      </w:r>
      <w:r w:rsidRPr="00E10C9D">
        <w:rPr>
          <w:rFonts w:ascii="David" w:hAnsi="David"/>
          <w:b/>
          <w:bCs/>
          <w:rtl/>
        </w:rPr>
        <w:t xml:space="preserve">אתה, אתה, אתה והבן שלך כל היום רק שקר ושקר, </w:t>
      </w:r>
      <w:r w:rsidRPr="00E10C9D">
        <w:rPr>
          <w:rFonts w:ascii="David" w:hAnsi="David"/>
          <w:b/>
          <w:bCs/>
          <w:rtl/>
        </w:rPr>
        <w:lastRenderedPageBreak/>
        <w:t>אתם חיים ואוכלים שקר, שותים שקר – תפסיקו, אתם תתביישו לכם. אתם לא לא יודעים... כבר. תרדו מהגל, תרדו</w:t>
      </w:r>
      <w:r w:rsidRPr="00E10C9D">
        <w:rPr>
          <w:rFonts w:ascii="David" w:hAnsi="David"/>
          <w:rtl/>
        </w:rPr>
        <w:t xml:space="preserve"> </w:t>
      </w:r>
      <w:r w:rsidRPr="00E10C9D">
        <w:rPr>
          <w:rFonts w:ascii="David" w:hAnsi="David"/>
          <w:b/>
          <w:bCs/>
          <w:rtl/>
        </w:rPr>
        <w:t>מהעץ מהר</w:t>
      </w:r>
      <w:r w:rsidRPr="00E10C9D">
        <w:rPr>
          <w:rFonts w:ascii="David" w:hAnsi="David"/>
          <w:rtl/>
        </w:rPr>
        <w:t>".</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והסב  לא חדל "</w:t>
      </w:r>
      <w:r w:rsidRPr="00E10C9D">
        <w:rPr>
          <w:rFonts w:ascii="David" w:hAnsi="David"/>
          <w:b/>
          <w:bCs/>
          <w:rtl/>
        </w:rPr>
        <w:t>אני לא ארד מהעץ, אני אראה לך, יש הרבה ענפים על העץ</w:t>
      </w:r>
      <w:r w:rsidRPr="00E10C9D">
        <w:rPr>
          <w:rFonts w:ascii="David" w:hAnsi="David"/>
          <w:rtl/>
        </w:rPr>
        <w:t>...</w:t>
      </w:r>
      <w:r w:rsidRPr="00E10C9D">
        <w:rPr>
          <w:rFonts w:ascii="David" w:hAnsi="David"/>
          <w:b/>
          <w:bCs/>
          <w:rtl/>
        </w:rPr>
        <w:t xml:space="preserve"> בשביל זה אני רוצה לעשות איתך ב-4 עיניים, בוא נשב, טוסט עליי בארומה אתה רוצה? מקום ציבורי</w:t>
      </w:r>
      <w:r w:rsidRPr="00E10C9D">
        <w:rPr>
          <w:rFonts w:ascii="David" w:hAnsi="David"/>
          <w:rtl/>
        </w:rPr>
        <w:t>...</w:t>
      </w:r>
      <w:r w:rsidRPr="00E10C9D">
        <w:rPr>
          <w:rFonts w:ascii="David" w:hAnsi="David"/>
          <w:b/>
          <w:bCs/>
          <w:rtl/>
        </w:rPr>
        <w:t xml:space="preserve"> שאתה פחדן כבר הוכחת את זה, מי תוקף עם חגורה? ...בוא נלך למשטרה, אם אתה רוצה במשטרה בוא למשטרה</w:t>
      </w:r>
      <w:r w:rsidRPr="00E10C9D">
        <w:rPr>
          <w:rFonts w:ascii="David" w:hAnsi="David"/>
          <w:rtl/>
        </w:rPr>
        <w:t>".</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 xml:space="preserve"> בהמשך כאשר הידיד משיב לסב שהאם (א.) דואגת לנכדיו כמו שצריך משיב הסב  "</w:t>
      </w:r>
      <w:r w:rsidRPr="00E10C9D">
        <w:rPr>
          <w:rFonts w:ascii="David" w:hAnsi="David"/>
          <w:b/>
          <w:bCs/>
          <w:rtl/>
        </w:rPr>
        <w:t>על זה אפשר להתווכח</w:t>
      </w:r>
      <w:r w:rsidRPr="00E10C9D">
        <w:rPr>
          <w:rFonts w:ascii="David" w:hAnsi="David"/>
          <w:rtl/>
        </w:rPr>
        <w:t>" ; "</w:t>
      </w:r>
      <w:r w:rsidRPr="00E10C9D">
        <w:rPr>
          <w:rFonts w:ascii="David" w:hAnsi="David"/>
          <w:b/>
          <w:bCs/>
          <w:rtl/>
        </w:rPr>
        <w:t>על זה אני אמרתי לך אפשר להתווכח</w:t>
      </w:r>
      <w:r w:rsidRPr="00E10C9D">
        <w:rPr>
          <w:rFonts w:ascii="David" w:hAnsi="David"/>
          <w:rtl/>
        </w:rPr>
        <w:t>".</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בהמשך השיחה מופיע הקטע עליו ניסה התובע לבסס את אותה לשון הרע גם מכוח דברים שנאמרו על ידי אותו ידיד, בשליחותה של א. לאביו: הידיד מציע לו לקחת מונית ולהיפגש במשטרה  ואז משיב הסב  "</w:t>
      </w:r>
      <w:r w:rsidRPr="00E10C9D">
        <w:rPr>
          <w:rFonts w:ascii="David" w:hAnsi="David"/>
          <w:b/>
          <w:bCs/>
          <w:rtl/>
        </w:rPr>
        <w:t>לא, אני אין לי, אני ברגל, נהנה ברגל, בוא, אני בדרך, יאללה בוא ניפגש.</w:t>
      </w:r>
      <w:r w:rsidRPr="00E10C9D">
        <w:rPr>
          <w:rFonts w:ascii="David" w:hAnsi="David"/>
          <w:rtl/>
        </w:rPr>
        <w:t>" משיב הידיד "</w:t>
      </w:r>
      <w:r w:rsidRPr="00E10C9D">
        <w:rPr>
          <w:rFonts w:ascii="David" w:hAnsi="David"/>
          <w:b/>
          <w:bCs/>
          <w:rtl/>
        </w:rPr>
        <w:t>לא, אני מפחד נשמה, אני מפחד. אני אדם פחדן, אין לי ביצים לעשות דבר כזה</w:t>
      </w:r>
      <w:r w:rsidRPr="00E10C9D">
        <w:rPr>
          <w:rFonts w:ascii="David" w:hAnsi="David"/>
          <w:rtl/>
        </w:rPr>
        <w:t>."</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 xml:space="preserve"> עונה לו הסב "</w:t>
      </w:r>
      <w:r w:rsidRPr="00E10C9D">
        <w:rPr>
          <w:rFonts w:ascii="David" w:hAnsi="David"/>
          <w:b/>
          <w:bCs/>
          <w:rtl/>
        </w:rPr>
        <w:t>אמרתי לך אתה  כבר הוכחת את זה, אז זה לא זה. אני בא לדבר איתך פרופר על הנכדים</w:t>
      </w:r>
      <w:r w:rsidRPr="00E10C9D">
        <w:rPr>
          <w:rFonts w:ascii="David" w:hAnsi="David"/>
          <w:rtl/>
        </w:rPr>
        <w:t xml:space="preserve">... </w:t>
      </w:r>
      <w:r w:rsidRPr="00E10C9D">
        <w:rPr>
          <w:rFonts w:ascii="David" w:hAnsi="David"/>
          <w:b/>
          <w:bCs/>
          <w:rtl/>
        </w:rPr>
        <w:t>יש דברים שלא צוחקים. יש אני אומר לך ילדים הם, צריך את ההגנה המרבית לגביהם</w:t>
      </w:r>
      <w:r w:rsidRPr="00E10C9D">
        <w:rPr>
          <w:rFonts w:ascii="David" w:hAnsi="David"/>
          <w:rtl/>
        </w:rPr>
        <w:t>" על כך משיב הידיד: "</w:t>
      </w:r>
      <w:r w:rsidRPr="00E10C9D">
        <w:rPr>
          <w:rFonts w:ascii="David" w:hAnsi="David"/>
          <w:b/>
          <w:bCs/>
          <w:rtl/>
        </w:rPr>
        <w:t>לך תסתכל בדוחות של המשטרה של מי הילדים מקבלים מכות? שהילדים של</w:t>
      </w:r>
      <w:r w:rsidRPr="00E10C9D">
        <w:rPr>
          <w:rFonts w:ascii="David" w:hAnsi="David"/>
          <w:rtl/>
        </w:rPr>
        <w:t xml:space="preserve">.. </w:t>
      </w:r>
      <w:r w:rsidRPr="00E10C9D">
        <w:rPr>
          <w:rFonts w:ascii="David" w:hAnsi="David"/>
          <w:b/>
          <w:bCs/>
          <w:rtl/>
        </w:rPr>
        <w:t>הבן שלך שהוא אבא שלהם נותן להם מכות אצלם במשטרה יש תיק כזה עליו, זה לא אנ</w:t>
      </w:r>
      <w:r w:rsidRPr="00E10C9D">
        <w:rPr>
          <w:rFonts w:ascii="David" w:hAnsi="David"/>
          <w:rtl/>
        </w:rPr>
        <w:t>י</w:t>
      </w:r>
      <w:r w:rsidRPr="00E10C9D">
        <w:rPr>
          <w:rFonts w:ascii="David" w:hAnsi="David"/>
          <w:b/>
          <w:bCs/>
          <w:rtl/>
        </w:rPr>
        <w:t xml:space="preserve"> ומקבלים מכות"</w:t>
      </w:r>
      <w:r w:rsidRPr="00E10C9D">
        <w:rPr>
          <w:rFonts w:ascii="David" w:hAnsi="David"/>
          <w:rtl/>
        </w:rPr>
        <w:t xml:space="preserve"> הסב לא מרפה וממשיך בדרישתו להיפגש עם הידיד ומסיים את השיחה "</w:t>
      </w:r>
      <w:r w:rsidRPr="00E10C9D">
        <w:rPr>
          <w:rFonts w:ascii="David" w:hAnsi="David"/>
          <w:b/>
          <w:bCs/>
          <w:rtl/>
        </w:rPr>
        <w:t xml:space="preserve">אז אני רוצה לשבת איתך שלא תתבלבל בהמשך. </w:t>
      </w:r>
      <w:r w:rsidRPr="00E10C9D">
        <w:rPr>
          <w:rFonts w:ascii="David" w:hAnsi="David"/>
          <w:rtl/>
        </w:rPr>
        <w:t>...</w:t>
      </w:r>
      <w:r w:rsidRPr="00E10C9D">
        <w:rPr>
          <w:rFonts w:ascii="David" w:hAnsi="David"/>
          <w:b/>
          <w:bCs/>
          <w:rtl/>
        </w:rPr>
        <w:t>טוב נדבר בהמשך, ביי</w:t>
      </w:r>
      <w:r w:rsidRPr="00E10C9D">
        <w:rPr>
          <w:rFonts w:ascii="David" w:hAnsi="David"/>
          <w:rtl/>
        </w:rPr>
        <w:t>".</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 xml:space="preserve">ברור שהקורא את הקטע הרלוונטי מבין שהדברים המובאים בכתב התביעה במגמתיות בלתי ראויה אשר מעוררת אי נוחות לשון המעטה.  </w:t>
      </w:r>
    </w:p>
    <w:p w:rsidR="001417C6" w:rsidRPr="00E10C9D" w:rsidRDefault="001417C6" w:rsidP="001417C6">
      <w:pPr>
        <w:spacing w:line="360" w:lineRule="auto"/>
        <w:ind w:left="720"/>
        <w:jc w:val="both"/>
        <w:rPr>
          <w:rFonts w:ascii="David" w:hAnsi="David"/>
          <w:rtl/>
        </w:rPr>
      </w:pPr>
      <w:r w:rsidRPr="00E10C9D">
        <w:rPr>
          <w:rFonts w:ascii="David" w:hAnsi="David"/>
          <w:rtl/>
        </w:rPr>
        <w:t xml:space="preserve"> לקרוא ולא להאמין. נספח זה צורף לכתב התביעה על מנת לתמוך בה, על מנת שיוכל ללמד את הפגיעה בתובע, בין היתר, לנוכח הזעזוע שעבר אביו המבוגר. הקורא את הדברים מבין שההפך הוא הנכון. בשל כבודו של האב שאינו חלק מההליך ולא זומן לעדות, כאמור, לא ארחיב מעבר לזה.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14" w:hanging="630"/>
        <w:jc w:val="both"/>
        <w:rPr>
          <w:rFonts w:ascii="David" w:hAnsi="David"/>
          <w:u w:val="single"/>
          <w:rtl/>
        </w:rPr>
      </w:pPr>
      <w:r w:rsidRPr="00E10C9D">
        <w:rPr>
          <w:rFonts w:ascii="David" w:hAnsi="David"/>
          <w:rtl/>
        </w:rPr>
        <w:t>28.</w:t>
      </w:r>
      <w:r w:rsidRPr="00E10C9D">
        <w:rPr>
          <w:rFonts w:ascii="David" w:hAnsi="David"/>
          <w:rtl/>
        </w:rPr>
        <w:tab/>
      </w:r>
      <w:r w:rsidRPr="00E10C9D">
        <w:rPr>
          <w:rFonts w:ascii="David" w:hAnsi="David"/>
          <w:u w:val="single"/>
          <w:rtl/>
        </w:rPr>
        <w:t xml:space="preserve">בשים לב לאמור לעיל אני דוחה את תביעת התובע כלפי א.. </w:t>
      </w:r>
    </w:p>
    <w:p w:rsidR="001417C6" w:rsidRPr="00E10C9D" w:rsidRDefault="001417C6" w:rsidP="001417C6">
      <w:pPr>
        <w:spacing w:line="360" w:lineRule="auto"/>
        <w:ind w:left="720" w:hanging="720"/>
        <w:jc w:val="both"/>
        <w:rPr>
          <w:rFonts w:ascii="David" w:hAnsi="David"/>
          <w:u w:val="single"/>
          <w:rtl/>
        </w:rPr>
      </w:pPr>
      <w:r w:rsidRPr="00E10C9D">
        <w:rPr>
          <w:rFonts w:ascii="David" w:hAnsi="David"/>
          <w:rtl/>
        </w:rPr>
        <w:tab/>
      </w:r>
      <w:r w:rsidRPr="00E10C9D">
        <w:rPr>
          <w:rFonts w:ascii="David" w:hAnsi="David"/>
          <w:u w:val="single"/>
          <w:rtl/>
        </w:rPr>
        <w:t xml:space="preserve">לאור התוצאה אליה הגעתי התובע יישא בהוצאות א. (הנתבעת1 ) בסך 10,000 ₪. </w:t>
      </w:r>
    </w:p>
    <w:p w:rsidR="001417C6" w:rsidRPr="00E10C9D" w:rsidRDefault="001417C6" w:rsidP="001417C6">
      <w:pPr>
        <w:spacing w:line="360" w:lineRule="auto"/>
        <w:ind w:left="720" w:hanging="720"/>
        <w:jc w:val="both"/>
        <w:rPr>
          <w:rFonts w:ascii="David" w:hAnsi="David"/>
          <w:u w:val="single"/>
          <w:rtl/>
        </w:rPr>
      </w:pPr>
    </w:p>
    <w:p w:rsidR="00E10C9D" w:rsidRPr="00E10C9D" w:rsidRDefault="00E10C9D" w:rsidP="001417C6">
      <w:pPr>
        <w:spacing w:line="360" w:lineRule="auto"/>
        <w:ind w:left="720" w:hanging="720"/>
        <w:jc w:val="both"/>
        <w:rPr>
          <w:rFonts w:ascii="David" w:hAnsi="David"/>
          <w:u w:val="single"/>
          <w:rtl/>
        </w:rPr>
      </w:pPr>
    </w:p>
    <w:p w:rsidR="001417C6" w:rsidRPr="00E10C9D" w:rsidRDefault="001417C6" w:rsidP="001417C6">
      <w:pPr>
        <w:spacing w:line="360" w:lineRule="auto"/>
        <w:ind w:left="714"/>
        <w:jc w:val="both"/>
        <w:rPr>
          <w:rFonts w:ascii="David" w:hAnsi="David"/>
          <w:b/>
          <w:bCs/>
          <w:u w:val="single"/>
          <w:rtl/>
        </w:rPr>
      </w:pPr>
      <w:r w:rsidRPr="00E10C9D">
        <w:rPr>
          <w:rFonts w:ascii="David" w:hAnsi="David"/>
          <w:b/>
          <w:bCs/>
          <w:u w:val="single"/>
          <w:rtl/>
        </w:rPr>
        <w:t>התביעה השנייה:</w:t>
      </w:r>
    </w:p>
    <w:p w:rsidR="001417C6" w:rsidRPr="00E10C9D" w:rsidRDefault="001417C6" w:rsidP="001417C6">
      <w:pPr>
        <w:spacing w:line="360" w:lineRule="auto"/>
        <w:ind w:left="714"/>
        <w:jc w:val="both"/>
        <w:rPr>
          <w:rFonts w:ascii="David" w:hAnsi="David"/>
          <w:b/>
          <w:bCs/>
          <w:u w:val="single"/>
          <w:rtl/>
        </w:rPr>
      </w:pPr>
    </w:p>
    <w:p w:rsidR="001417C6" w:rsidRPr="00E10C9D" w:rsidRDefault="001417C6" w:rsidP="001417C6">
      <w:pPr>
        <w:spacing w:line="360" w:lineRule="auto"/>
        <w:ind w:left="720" w:hanging="6"/>
        <w:jc w:val="both"/>
        <w:rPr>
          <w:rFonts w:ascii="David" w:hAnsi="David"/>
          <w:b/>
          <w:bCs/>
          <w:u w:val="single"/>
          <w:rtl/>
        </w:rPr>
      </w:pPr>
      <w:r w:rsidRPr="00E10C9D">
        <w:rPr>
          <w:rFonts w:ascii="David" w:hAnsi="David"/>
          <w:b/>
          <w:bCs/>
          <w:u w:val="single"/>
          <w:rtl/>
        </w:rPr>
        <w:t>האם מדובר בפרסומים</w:t>
      </w:r>
      <w:r w:rsidRPr="00E10C9D">
        <w:rPr>
          <w:rFonts w:ascii="David" w:hAnsi="David"/>
          <w:b/>
          <w:bCs/>
          <w:rtl/>
        </w:rPr>
        <w:t>?</w:t>
      </w:r>
    </w:p>
    <w:p w:rsidR="001417C6" w:rsidRPr="00E10C9D" w:rsidRDefault="001417C6" w:rsidP="001417C6">
      <w:pPr>
        <w:spacing w:line="360" w:lineRule="auto"/>
        <w:ind w:left="720" w:hanging="6"/>
        <w:jc w:val="both"/>
        <w:rPr>
          <w:rFonts w:ascii="David" w:hAnsi="David"/>
          <w:b/>
          <w:bCs/>
          <w:u w:val="single"/>
          <w:rtl/>
        </w:rPr>
      </w:pPr>
    </w:p>
    <w:p w:rsidR="001417C6" w:rsidRPr="00E10C9D" w:rsidRDefault="001417C6" w:rsidP="001417C6">
      <w:pPr>
        <w:pStyle w:val="P22"/>
        <w:tabs>
          <w:tab w:val="left" w:pos="720"/>
        </w:tabs>
        <w:spacing w:before="72" w:line="360" w:lineRule="auto"/>
        <w:ind w:left="714" w:right="0" w:hanging="630"/>
        <w:rPr>
          <w:rFonts w:ascii="David" w:hAnsi="David" w:cs="David"/>
          <w:sz w:val="24"/>
          <w:szCs w:val="24"/>
          <w:rtl/>
        </w:rPr>
      </w:pPr>
      <w:r w:rsidRPr="00E10C9D">
        <w:rPr>
          <w:rFonts w:ascii="David" w:hAnsi="David" w:cs="David"/>
          <w:sz w:val="24"/>
          <w:szCs w:val="24"/>
          <w:rtl/>
        </w:rPr>
        <w:t>29.</w:t>
      </w:r>
      <w:r w:rsidRPr="00E10C9D">
        <w:rPr>
          <w:rFonts w:ascii="David" w:hAnsi="David" w:cs="David"/>
          <w:sz w:val="24"/>
          <w:szCs w:val="24"/>
          <w:rtl/>
        </w:rPr>
        <w:tab/>
        <w:t xml:space="preserve">לאור הגדרת 'פרסום' בחוק ברי שהדברים עונים להגדרת פרסום על פי סעיף 2 (ב) (1) לחוק. </w:t>
      </w:r>
    </w:p>
    <w:p w:rsidR="001417C6" w:rsidRPr="00E10C9D" w:rsidRDefault="001417C6" w:rsidP="001417C6">
      <w:pPr>
        <w:pStyle w:val="P22"/>
        <w:tabs>
          <w:tab w:val="left" w:pos="720"/>
        </w:tabs>
        <w:spacing w:before="72" w:line="360" w:lineRule="auto"/>
        <w:ind w:left="714" w:right="0"/>
        <w:rPr>
          <w:rFonts w:ascii="David" w:hAnsi="David" w:cs="David"/>
          <w:sz w:val="24"/>
          <w:szCs w:val="24"/>
          <w:rtl/>
        </w:rPr>
      </w:pPr>
      <w:r w:rsidRPr="00E10C9D">
        <w:rPr>
          <w:rFonts w:ascii="David" w:hAnsi="David" w:cs="David"/>
          <w:sz w:val="24"/>
          <w:szCs w:val="24"/>
          <w:rtl/>
        </w:rPr>
        <w:t>לצורך גיבוש העוולה של לשון הרע יש חובה שלשון הרע פורסמה לאמור היא חייבת "...</w:t>
      </w:r>
      <w:r w:rsidRPr="00E10C9D">
        <w:rPr>
          <w:rFonts w:ascii="David" w:hAnsi="David" w:cs="David"/>
          <w:b/>
          <w:bCs/>
          <w:sz w:val="24"/>
          <w:szCs w:val="24"/>
          <w:rtl/>
        </w:rPr>
        <w:t>לשאת ביטוי חיצוני היוצא מהנתבע</w:t>
      </w:r>
      <w:r w:rsidRPr="00E10C9D">
        <w:rPr>
          <w:rFonts w:ascii="David" w:hAnsi="David" w:cs="David"/>
          <w:sz w:val="24"/>
          <w:szCs w:val="24"/>
          <w:rtl/>
        </w:rPr>
        <w:t xml:space="preserve">..." (אורי שנהר </w:t>
      </w:r>
      <w:r w:rsidRPr="00E10C9D">
        <w:rPr>
          <w:rFonts w:ascii="David" w:hAnsi="David" w:cs="David"/>
          <w:b/>
          <w:bCs/>
          <w:sz w:val="24"/>
          <w:szCs w:val="24"/>
          <w:u w:val="single"/>
          <w:rtl/>
        </w:rPr>
        <w:t>דיני לשון הרע</w:t>
      </w:r>
      <w:r w:rsidRPr="00E10C9D">
        <w:rPr>
          <w:rFonts w:ascii="David" w:hAnsi="David" w:cs="David"/>
          <w:sz w:val="24"/>
          <w:szCs w:val="24"/>
          <w:rtl/>
        </w:rPr>
        <w:t xml:space="preserve"> (1997), להלן: </w:t>
      </w:r>
      <w:r w:rsidRPr="00E10C9D">
        <w:rPr>
          <w:rFonts w:ascii="David" w:hAnsi="David" w:cs="David"/>
          <w:b/>
          <w:bCs/>
          <w:sz w:val="24"/>
          <w:szCs w:val="24"/>
          <w:rtl/>
        </w:rPr>
        <w:t>שנהר</w:t>
      </w:r>
      <w:r w:rsidRPr="00E10C9D">
        <w:rPr>
          <w:rFonts w:ascii="David" w:hAnsi="David" w:cs="David"/>
          <w:sz w:val="24"/>
          <w:szCs w:val="24"/>
          <w:rtl/>
        </w:rPr>
        <w:t>)  ויכול שיהיה כל מעשה של העברת מסר. כך, "</w:t>
      </w:r>
      <w:r w:rsidRPr="00E10C9D">
        <w:rPr>
          <w:rFonts w:ascii="David" w:hAnsi="David" w:cs="David"/>
          <w:b/>
          <w:bCs/>
          <w:sz w:val="24"/>
          <w:szCs w:val="24"/>
          <w:rtl/>
        </w:rPr>
        <w:t>פרסום, העשוי להוות עוולה או עבירה לפי החוק, חייב להיעשות לפחות לאדם אחד (בעוולה)..."</w:t>
      </w:r>
      <w:r w:rsidRPr="00E10C9D">
        <w:rPr>
          <w:rFonts w:ascii="David" w:hAnsi="David" w:cs="David"/>
          <w:sz w:val="24"/>
          <w:szCs w:val="24"/>
          <w:rtl/>
        </w:rPr>
        <w:t xml:space="preserve"> (שנהר עמ' 87). עוד נקבע שאין חובה שהפרסום יגיע בפועל לאדם נוסף לבד מהנפגע "...</w:t>
      </w:r>
      <w:r w:rsidRPr="00E10C9D">
        <w:rPr>
          <w:rFonts w:ascii="David" w:hAnsi="David" w:cs="David"/>
          <w:b/>
          <w:bCs/>
          <w:sz w:val="24"/>
          <w:szCs w:val="24"/>
          <w:rtl/>
        </w:rPr>
        <w:t>אם עשוי היה, לפי הנסיבות, להגיע לאדם זולת הנפגע</w:t>
      </w:r>
      <w:r w:rsidRPr="00E10C9D">
        <w:rPr>
          <w:rFonts w:ascii="David" w:hAnsi="David" w:cs="David"/>
          <w:sz w:val="24"/>
          <w:szCs w:val="24"/>
          <w:rtl/>
        </w:rPr>
        <w:t>". לפיכך נקבע שניתן להטיל אחריות מכוח החוק על פרסום בכתב, "...</w:t>
      </w:r>
      <w:r w:rsidRPr="00E10C9D">
        <w:rPr>
          <w:rFonts w:ascii="David" w:hAnsi="David" w:cs="David"/>
          <w:b/>
          <w:bCs/>
          <w:sz w:val="24"/>
          <w:szCs w:val="24"/>
          <w:rtl/>
        </w:rPr>
        <w:t>גם כאשר הכתב לא הגיע לידיעת אדם כלשהו זולת הנפגע</w:t>
      </w:r>
      <w:r w:rsidRPr="00E10C9D">
        <w:rPr>
          <w:rFonts w:ascii="David" w:hAnsi="David" w:cs="David"/>
          <w:sz w:val="24"/>
          <w:szCs w:val="24"/>
          <w:rtl/>
        </w:rPr>
        <w:t xml:space="preserve">" (שנהר, עמ' 90; </w:t>
      </w:r>
      <w:r w:rsidRPr="00E10C9D">
        <w:rPr>
          <w:rFonts w:ascii="David" w:hAnsi="David" w:cs="David"/>
          <w:sz w:val="24"/>
          <w:szCs w:val="24"/>
          <w:u w:val="single"/>
          <w:rtl/>
        </w:rPr>
        <w:t>ע"א 740/86</w:t>
      </w:r>
      <w:r w:rsidRPr="00E10C9D">
        <w:rPr>
          <w:rFonts w:ascii="David" w:hAnsi="David" w:cs="David"/>
          <w:sz w:val="24"/>
          <w:szCs w:val="24"/>
          <w:rtl/>
        </w:rPr>
        <w:t xml:space="preserve">  </w:t>
      </w:r>
      <w:r w:rsidRPr="00E10C9D">
        <w:rPr>
          <w:rFonts w:ascii="David" w:hAnsi="David" w:cs="David"/>
          <w:b/>
          <w:bCs/>
          <w:sz w:val="24"/>
          <w:szCs w:val="24"/>
          <w:rtl/>
        </w:rPr>
        <w:t>יגאל</w:t>
      </w:r>
      <w:r w:rsidRPr="00E10C9D">
        <w:rPr>
          <w:rFonts w:ascii="David" w:hAnsi="David" w:cs="David"/>
          <w:sz w:val="24"/>
          <w:szCs w:val="24"/>
          <w:rtl/>
        </w:rPr>
        <w:t xml:space="preserve"> </w:t>
      </w:r>
      <w:r w:rsidRPr="00E10C9D">
        <w:rPr>
          <w:rFonts w:ascii="David" w:hAnsi="David" w:cs="David"/>
          <w:b/>
          <w:bCs/>
          <w:sz w:val="24"/>
          <w:szCs w:val="24"/>
          <w:rtl/>
        </w:rPr>
        <w:t>תומרקין נ' אליקים העצני</w:t>
      </w:r>
      <w:r w:rsidRPr="00E10C9D">
        <w:rPr>
          <w:rFonts w:ascii="David" w:hAnsi="David" w:cs="David"/>
          <w:sz w:val="24"/>
          <w:szCs w:val="24"/>
          <w:rtl/>
        </w:rPr>
        <w:t xml:space="preserve">  פ"ד מג(2) 333 (30/7/1989)].</w:t>
      </w:r>
    </w:p>
    <w:p w:rsidR="001417C6" w:rsidRPr="00E10C9D" w:rsidRDefault="001417C6" w:rsidP="001417C6">
      <w:pPr>
        <w:pStyle w:val="P22"/>
        <w:tabs>
          <w:tab w:val="left" w:pos="720"/>
        </w:tabs>
        <w:spacing w:before="72" w:line="360" w:lineRule="auto"/>
        <w:ind w:left="84" w:right="0"/>
        <w:rPr>
          <w:rFonts w:ascii="David" w:hAnsi="David" w:cs="David"/>
          <w:sz w:val="24"/>
          <w:szCs w:val="24"/>
          <w:rtl/>
        </w:rPr>
      </w:pPr>
    </w:p>
    <w:p w:rsidR="001417C6" w:rsidRPr="00E10C9D" w:rsidRDefault="001417C6" w:rsidP="001417C6">
      <w:pPr>
        <w:pStyle w:val="P22"/>
        <w:tabs>
          <w:tab w:val="left" w:pos="720"/>
        </w:tabs>
        <w:spacing w:before="72" w:line="360" w:lineRule="auto"/>
        <w:ind w:left="84" w:right="0"/>
        <w:rPr>
          <w:rFonts w:ascii="David" w:hAnsi="David" w:cs="David"/>
          <w:sz w:val="24"/>
          <w:szCs w:val="24"/>
          <w:rtl/>
        </w:rPr>
      </w:pPr>
      <w:r w:rsidRPr="00E10C9D">
        <w:rPr>
          <w:rFonts w:ascii="David" w:hAnsi="David" w:cs="David"/>
          <w:sz w:val="24"/>
          <w:szCs w:val="24"/>
          <w:rtl/>
        </w:rPr>
        <w:t>30.</w:t>
      </w:r>
      <w:r w:rsidRPr="00E10C9D">
        <w:rPr>
          <w:rFonts w:ascii="David" w:hAnsi="David" w:cs="David"/>
          <w:sz w:val="24"/>
          <w:szCs w:val="24"/>
          <w:rtl/>
        </w:rPr>
        <w:tab/>
        <w:t>הנה כי כן מדובר בפרסום העונה לדרישת החוק והגדרתו על פי החוק.</w:t>
      </w:r>
    </w:p>
    <w:p w:rsidR="001417C6" w:rsidRPr="00E10C9D" w:rsidRDefault="001417C6" w:rsidP="001417C6">
      <w:pPr>
        <w:pStyle w:val="P22"/>
        <w:tabs>
          <w:tab w:val="left" w:pos="720"/>
        </w:tabs>
        <w:spacing w:before="72" w:line="360" w:lineRule="auto"/>
        <w:ind w:left="714" w:right="0" w:hanging="630"/>
        <w:rPr>
          <w:rStyle w:val="default"/>
          <w:rFonts w:ascii="David" w:eastAsiaTheme="majorEastAsia" w:hAnsi="David" w:cs="David"/>
          <w:b/>
          <w:bCs/>
          <w:u w:val="single"/>
          <w:rtl/>
        </w:rPr>
      </w:pPr>
    </w:p>
    <w:p w:rsidR="001417C6" w:rsidRPr="00E10C9D" w:rsidRDefault="001417C6" w:rsidP="001417C6">
      <w:pPr>
        <w:spacing w:line="360" w:lineRule="auto"/>
        <w:ind w:left="720" w:hanging="720"/>
        <w:jc w:val="both"/>
        <w:rPr>
          <w:rFonts w:ascii="David" w:eastAsiaTheme="minorHAnsi" w:hAnsi="David"/>
          <w:rtl/>
        </w:rPr>
      </w:pPr>
      <w:r w:rsidRPr="00E10C9D">
        <w:rPr>
          <w:rFonts w:ascii="David" w:hAnsi="David"/>
          <w:b/>
          <w:bCs/>
          <w:u w:val="single"/>
          <w:rtl/>
        </w:rPr>
        <w:t>האם הפרסומים הם של הצדדים?</w:t>
      </w:r>
    </w:p>
    <w:p w:rsidR="001417C6" w:rsidRPr="00E10C9D" w:rsidRDefault="001417C6" w:rsidP="001417C6">
      <w:pPr>
        <w:spacing w:line="360" w:lineRule="auto"/>
        <w:ind w:left="720" w:hanging="720"/>
        <w:jc w:val="both"/>
        <w:rPr>
          <w:rFonts w:ascii="David" w:eastAsiaTheme="minorHAnsi" w:hAnsi="David"/>
          <w:rtl/>
        </w:rPr>
      </w:pPr>
    </w:p>
    <w:p w:rsidR="001417C6" w:rsidRPr="00E10C9D" w:rsidRDefault="001417C6" w:rsidP="001417C6">
      <w:pPr>
        <w:pStyle w:val="P22"/>
        <w:tabs>
          <w:tab w:val="left" w:pos="720"/>
        </w:tabs>
        <w:spacing w:before="72" w:line="360" w:lineRule="auto"/>
        <w:ind w:left="714" w:right="0" w:hanging="630"/>
        <w:rPr>
          <w:rStyle w:val="default"/>
          <w:rFonts w:ascii="David" w:eastAsiaTheme="majorEastAsia" w:hAnsi="David" w:cs="David"/>
          <w:sz w:val="24"/>
          <w:szCs w:val="24"/>
          <w:rtl/>
        </w:rPr>
      </w:pPr>
      <w:r w:rsidRPr="00E10C9D">
        <w:rPr>
          <w:rStyle w:val="default"/>
          <w:rFonts w:ascii="David" w:eastAsiaTheme="majorEastAsia" w:hAnsi="David" w:cs="David"/>
          <w:sz w:val="24"/>
          <w:szCs w:val="24"/>
          <w:rtl/>
        </w:rPr>
        <w:t>31.</w:t>
      </w:r>
      <w:r w:rsidRPr="00E10C9D">
        <w:rPr>
          <w:rStyle w:val="default"/>
          <w:rFonts w:ascii="David" w:eastAsiaTheme="majorEastAsia" w:hAnsi="David" w:cs="David"/>
          <w:sz w:val="24"/>
          <w:szCs w:val="24"/>
          <w:rtl/>
        </w:rPr>
        <w:tab/>
        <w:t xml:space="preserve">א. לא הכחישה את עצם הפרסומים שאלו נעשו על ידה והיו על 'הקיר' בעמוד הפייסבוק שלה. משכך הפרסומים הם של א. </w:t>
      </w:r>
    </w:p>
    <w:p w:rsidR="001417C6" w:rsidRPr="00E10C9D" w:rsidRDefault="001417C6" w:rsidP="001417C6">
      <w:pPr>
        <w:spacing w:line="360" w:lineRule="auto"/>
        <w:ind w:left="720" w:hanging="720"/>
        <w:jc w:val="both"/>
        <w:rPr>
          <w:rFonts w:ascii="David" w:eastAsiaTheme="minorHAnsi" w:hAnsi="David"/>
          <w:rtl/>
        </w:rPr>
      </w:pPr>
    </w:p>
    <w:p w:rsidR="001417C6" w:rsidRPr="00E10C9D" w:rsidRDefault="001417C6" w:rsidP="001417C6">
      <w:pPr>
        <w:spacing w:line="360" w:lineRule="auto"/>
        <w:ind w:left="720" w:hanging="720"/>
        <w:jc w:val="both"/>
        <w:rPr>
          <w:rFonts w:ascii="David" w:hAnsi="David"/>
          <w:b/>
          <w:bCs/>
          <w:u w:val="single"/>
          <w:rtl/>
        </w:rPr>
      </w:pPr>
      <w:r w:rsidRPr="00E10C9D">
        <w:rPr>
          <w:rFonts w:ascii="David" w:hAnsi="David"/>
          <w:u w:val="single"/>
          <w:rtl/>
        </w:rPr>
        <w:t xml:space="preserve"> </w:t>
      </w:r>
      <w:r w:rsidRPr="00E10C9D">
        <w:rPr>
          <w:rFonts w:ascii="David" w:hAnsi="David"/>
          <w:b/>
          <w:bCs/>
          <w:u w:val="single"/>
          <w:rtl/>
        </w:rPr>
        <w:t xml:space="preserve">האם הפרסומים הם לשון הרע? </w:t>
      </w:r>
    </w:p>
    <w:p w:rsidR="001417C6" w:rsidRPr="00E10C9D" w:rsidRDefault="001417C6" w:rsidP="001417C6">
      <w:pPr>
        <w:spacing w:line="360" w:lineRule="auto"/>
        <w:ind w:left="720" w:hanging="720"/>
        <w:jc w:val="both"/>
        <w:rPr>
          <w:rFonts w:ascii="David" w:hAnsi="David"/>
          <w:b/>
          <w:bCs/>
          <w:u w:val="single"/>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32.</w:t>
      </w:r>
      <w:r w:rsidRPr="00E10C9D">
        <w:rPr>
          <w:rFonts w:ascii="David" w:hAnsi="David"/>
          <w:rtl/>
        </w:rPr>
        <w:tab/>
        <w:t xml:space="preserve">כזכור מ. הלין על שני פרסומים בפייסבוק. בשים לב לטענות ההגנה של א. שבדין יסודן לעניין שיוך הפרסום אל מ. והמופנה אליו ראוי ליצור הפרדה בהתייחסות אליהם. </w:t>
      </w:r>
    </w:p>
    <w:p w:rsidR="001417C6" w:rsidRPr="00E10C9D" w:rsidRDefault="001417C6" w:rsidP="001417C6">
      <w:pPr>
        <w:spacing w:line="360" w:lineRule="auto"/>
        <w:ind w:left="720" w:hanging="720"/>
        <w:jc w:val="both"/>
        <w:rPr>
          <w:rFonts w:ascii="David" w:hAnsi="David"/>
          <w:rtl/>
        </w:rPr>
      </w:pPr>
      <w:r w:rsidRPr="00E10C9D">
        <w:rPr>
          <w:rFonts w:ascii="David" w:hAnsi="David"/>
          <w:rtl/>
        </w:rPr>
        <w:tab/>
        <w:t xml:space="preserve">בפסק דין במסגרת </w:t>
      </w:r>
      <w:r w:rsidRPr="00E10C9D">
        <w:rPr>
          <w:rFonts w:ascii="David" w:hAnsi="David"/>
          <w:u w:val="single"/>
          <w:rtl/>
        </w:rPr>
        <w:t xml:space="preserve">תמ"ש 1708-02-15 </w:t>
      </w:r>
      <w:r w:rsidRPr="00E10C9D">
        <w:rPr>
          <w:rFonts w:ascii="David" w:hAnsi="David"/>
          <w:b/>
          <w:bCs/>
          <w:rtl/>
        </w:rPr>
        <w:t>א.נ' א</w:t>
      </w:r>
      <w:r w:rsidRPr="00E10C9D">
        <w:rPr>
          <w:rFonts w:ascii="David" w:hAnsi="David"/>
          <w:rtl/>
        </w:rPr>
        <w:t xml:space="preserve"> (5/6/2017) כתבתי את הדברים הבאים:</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1433" w:hanging="640"/>
        <w:jc w:val="both"/>
        <w:rPr>
          <w:rFonts w:ascii="David" w:hAnsi="David"/>
          <w:b/>
          <w:bCs/>
          <w:rtl/>
        </w:rPr>
      </w:pPr>
      <w:r w:rsidRPr="00E10C9D">
        <w:rPr>
          <w:rFonts w:ascii="David" w:hAnsi="David"/>
          <w:rtl/>
        </w:rPr>
        <w:t>"</w:t>
      </w:r>
      <w:r w:rsidRPr="00E10C9D">
        <w:rPr>
          <w:rFonts w:ascii="David" w:hAnsi="David"/>
          <w:b/>
          <w:bCs/>
          <w:rtl/>
        </w:rPr>
        <w:t>20.</w:t>
      </w:r>
      <w:r w:rsidRPr="00E10C9D">
        <w:rPr>
          <w:rFonts w:ascii="David" w:hAnsi="David"/>
          <w:b/>
          <w:bCs/>
          <w:rtl/>
        </w:rPr>
        <w:tab/>
        <w:t>..., הכרעתי נדרשת במשמעות שיש לצקת לפרסומים אלו, לשון אחר: להסיק על סמך הלשון של אותם פרסומים האם עולים הם כדי לשון הרע  כדרישת החוק. אם כך הדבר והם אכן לשון הרע כמובנו על פי החוק מה הוא הפיצוי הראוי לתובעת, אם בכלל.</w:t>
      </w:r>
    </w:p>
    <w:p w:rsidR="001417C6" w:rsidRPr="00E10C9D" w:rsidRDefault="001417C6" w:rsidP="001417C6">
      <w:pPr>
        <w:spacing w:line="360" w:lineRule="auto"/>
        <w:ind w:left="1433" w:hanging="720"/>
        <w:jc w:val="both"/>
        <w:rPr>
          <w:rFonts w:ascii="David" w:hAnsi="David"/>
          <w:b/>
          <w:bCs/>
          <w:rtl/>
        </w:rPr>
      </w:pPr>
      <w:r w:rsidRPr="00E10C9D">
        <w:rPr>
          <w:rFonts w:ascii="David" w:hAnsi="David"/>
          <w:b/>
          <w:bCs/>
          <w:rtl/>
        </w:rPr>
        <w:t>21.</w:t>
      </w:r>
      <w:r w:rsidRPr="00E10C9D">
        <w:rPr>
          <w:rFonts w:ascii="David" w:hAnsi="David"/>
          <w:b/>
          <w:bCs/>
          <w:rtl/>
        </w:rPr>
        <w:tab/>
        <w:t>תחום זה של פרשנות הטקסט, הרמנויטיקה, היא  זו אשר תעניק את המשמעות של הדברים שנאמרו בטקסט, במנותק מתפיסתם של הצדדים עצמם את הטקסט הרואים בצורה דיכוטומית את הטקסטים מושא פסק הדין.</w:t>
      </w:r>
    </w:p>
    <w:p w:rsidR="001417C6" w:rsidRPr="00E10C9D" w:rsidRDefault="001417C6" w:rsidP="001417C6">
      <w:pPr>
        <w:spacing w:line="360" w:lineRule="auto"/>
        <w:ind w:left="1440" w:hanging="720"/>
        <w:jc w:val="both"/>
        <w:rPr>
          <w:rFonts w:ascii="David" w:hAnsi="David"/>
          <w:b/>
          <w:bCs/>
        </w:rPr>
      </w:pPr>
      <w:r w:rsidRPr="00E10C9D">
        <w:rPr>
          <w:rFonts w:ascii="David" w:hAnsi="David"/>
          <w:b/>
          <w:bCs/>
          <w:rtl/>
        </w:rPr>
        <w:t>22.</w:t>
      </w:r>
      <w:r w:rsidRPr="00E10C9D">
        <w:rPr>
          <w:rFonts w:ascii="David" w:hAnsi="David"/>
          <w:b/>
          <w:bCs/>
          <w:rtl/>
        </w:rPr>
        <w:tab/>
        <w:t>פרשנות הטקסט המצוי בפרסומים מושא הדיון שלפני אמורים להכריע ולאזן בין שתי זכויות: הזכות לשם הטוב אל מול חופש הביטוי. שתי זכויות אלו מצויות באותו מפלס במדרג הזכויות והאיזון ביניהם מושג  "...כפרי הערכה  ערכית - עקרונית תוך יישום הערכה מושגית זו על נסיבותיו המיוחדות של המקרה" (</w:t>
      </w:r>
      <w:r w:rsidRPr="00E10C9D">
        <w:rPr>
          <w:rFonts w:ascii="David" w:hAnsi="David"/>
          <w:b/>
          <w:bCs/>
          <w:u w:val="single"/>
          <w:rtl/>
        </w:rPr>
        <w:t>תאמ (צפת) 54888-01-12</w:t>
      </w:r>
      <w:r w:rsidRPr="00E10C9D">
        <w:rPr>
          <w:rFonts w:ascii="David" w:hAnsi="David"/>
          <w:b/>
          <w:bCs/>
          <w:rtl/>
        </w:rPr>
        <w:t xml:space="preserve"> </w:t>
      </w:r>
      <w:r w:rsidRPr="00E10C9D">
        <w:rPr>
          <w:rFonts w:ascii="David" w:hAnsi="David"/>
          <w:b/>
          <w:bCs/>
          <w:u w:val="single"/>
          <w:rtl/>
        </w:rPr>
        <w:t>מאיר ועקנין נ' מוטי מועלם</w:t>
      </w:r>
      <w:r w:rsidRPr="00E10C9D">
        <w:rPr>
          <w:rFonts w:ascii="David" w:hAnsi="David"/>
          <w:b/>
          <w:bCs/>
          <w:rtl/>
        </w:rPr>
        <w:t xml:space="preserve"> (16/12/12) המביא הדברים מ</w:t>
      </w:r>
      <w:r w:rsidRPr="00E10C9D">
        <w:rPr>
          <w:rFonts w:ascii="David" w:hAnsi="David"/>
          <w:b/>
          <w:bCs/>
          <w:u w:val="single"/>
          <w:rtl/>
        </w:rPr>
        <w:t>רע"א 10520/03</w:t>
      </w:r>
      <w:r w:rsidRPr="00E10C9D">
        <w:rPr>
          <w:rFonts w:ascii="David" w:hAnsi="David"/>
          <w:b/>
          <w:bCs/>
          <w:rtl/>
        </w:rPr>
        <w:t xml:space="preserve"> </w:t>
      </w:r>
      <w:r w:rsidRPr="00E10C9D">
        <w:rPr>
          <w:rFonts w:ascii="David" w:hAnsi="David"/>
          <w:b/>
          <w:bCs/>
          <w:u w:val="single"/>
          <w:rtl/>
        </w:rPr>
        <w:t>בן גביר נ' דנקנר</w:t>
      </w:r>
      <w:r w:rsidRPr="00E10C9D">
        <w:rPr>
          <w:rFonts w:ascii="David" w:hAnsi="David"/>
          <w:b/>
          <w:bCs/>
          <w:rtl/>
        </w:rPr>
        <w:t xml:space="preserve"> (12/11/2006)).</w:t>
      </w:r>
    </w:p>
    <w:p w:rsidR="001417C6" w:rsidRPr="00E10C9D" w:rsidRDefault="001417C6" w:rsidP="001417C6">
      <w:pPr>
        <w:spacing w:line="360" w:lineRule="auto"/>
        <w:ind w:left="1437" w:hanging="735"/>
        <w:jc w:val="both"/>
        <w:rPr>
          <w:rFonts w:ascii="David" w:hAnsi="David"/>
          <w:b/>
          <w:bCs/>
          <w:rtl/>
        </w:rPr>
      </w:pPr>
      <w:r w:rsidRPr="00E10C9D">
        <w:rPr>
          <w:rFonts w:ascii="David" w:hAnsi="David"/>
          <w:b/>
          <w:bCs/>
          <w:rtl/>
        </w:rPr>
        <w:lastRenderedPageBreak/>
        <w:t>23.</w:t>
      </w:r>
      <w:r w:rsidRPr="00E10C9D">
        <w:rPr>
          <w:rFonts w:ascii="David" w:hAnsi="David"/>
          <w:b/>
          <w:bCs/>
          <w:rtl/>
        </w:rPr>
        <w:tab/>
        <w:t xml:space="preserve">"...בהרמנויטיקה אין פרשנות אמיתית או שקרית  כי אם פרשנות מסתברת מטקסט נתון....הקריאה המשפטית כידוע נתונה תחת עולם של כללים פרשניים שונים שאינם רלוונטיים לפרשנות טקסטים אחרים...פרשנות סבירה היא זו המקיימת לפחות פרשנות נוספת בצידה...פרשנות משפטית סבירה היא זו אשר לאור כללים משפטיים מקובלים החלים על אותו טקסט משפטי, מתיישבת עמו ואינה נדחית מפניו. אם היא סבירה הרי אין היא האחת והבלבדית" (יובל אזני </w:t>
      </w:r>
      <w:r w:rsidRPr="00E10C9D">
        <w:rPr>
          <w:rFonts w:ascii="David" w:hAnsi="David"/>
          <w:b/>
          <w:bCs/>
          <w:u w:val="single"/>
          <w:rtl/>
        </w:rPr>
        <w:t>תורת הסבירות במשפט</w:t>
      </w:r>
      <w:r w:rsidRPr="00E10C9D">
        <w:rPr>
          <w:rFonts w:ascii="David" w:hAnsi="David"/>
          <w:b/>
          <w:bCs/>
          <w:rtl/>
        </w:rPr>
        <w:t xml:space="preserve"> (2012) עמ' 267-268); חיים פרלמן </w:t>
      </w:r>
      <w:r w:rsidRPr="00E10C9D">
        <w:rPr>
          <w:rFonts w:ascii="David" w:hAnsi="David"/>
          <w:b/>
          <w:bCs/>
          <w:u w:val="single"/>
          <w:rtl/>
        </w:rPr>
        <w:t xml:space="preserve">הלוגיקה המשפטית </w:t>
      </w:r>
      <w:r w:rsidRPr="00E10C9D">
        <w:rPr>
          <w:rFonts w:ascii="David" w:hAnsi="David"/>
          <w:b/>
          <w:bCs/>
          <w:rtl/>
        </w:rPr>
        <w:t xml:space="preserve">(1973) עמ' עמ' 144-145). </w:t>
      </w:r>
    </w:p>
    <w:p w:rsidR="001417C6" w:rsidRPr="00E10C9D" w:rsidRDefault="001417C6" w:rsidP="001417C6">
      <w:pPr>
        <w:tabs>
          <w:tab w:val="left" w:pos="576"/>
          <w:tab w:val="left" w:pos="702"/>
          <w:tab w:val="left" w:pos="1728"/>
          <w:tab w:val="left" w:pos="1872"/>
          <w:tab w:val="left" w:pos="2160"/>
          <w:tab w:val="left" w:pos="2304"/>
          <w:tab w:val="left" w:pos="3456"/>
          <w:tab w:val="left" w:pos="6480"/>
          <w:tab w:val="left" w:pos="8064"/>
        </w:tabs>
        <w:autoSpaceDE w:val="0"/>
        <w:autoSpaceDN w:val="0"/>
        <w:adjustRightInd w:val="0"/>
        <w:spacing w:line="360" w:lineRule="auto"/>
        <w:ind w:left="1437"/>
        <w:jc w:val="both"/>
        <w:rPr>
          <w:rFonts w:ascii="David" w:hAnsi="David"/>
          <w:b/>
          <w:bCs/>
          <w:rtl/>
        </w:rPr>
      </w:pPr>
      <w:r w:rsidRPr="00E10C9D">
        <w:rPr>
          <w:rFonts w:ascii="David" w:hAnsi="David"/>
          <w:b/>
          <w:bCs/>
          <w:rtl/>
        </w:rPr>
        <w:tab/>
        <w:t>יחד עם זאת נקבע שהמבחן להתקיימות העילה בתביעת לשון הרע הוא אובייקטיבי ולא סובייקטיבי.  "ב. המבחן, שבאמצעותו ייקבע אם אכן</w:t>
      </w:r>
      <w:r w:rsidRPr="00E10C9D">
        <w:rPr>
          <w:rFonts w:ascii="David" w:hAnsi="David"/>
          <w:b/>
          <w:bCs/>
        </w:rPr>
        <w:t xml:space="preserve"> </w:t>
      </w:r>
      <w:r w:rsidRPr="00E10C9D">
        <w:rPr>
          <w:rFonts w:ascii="David" w:hAnsi="David"/>
          <w:b/>
          <w:bCs/>
          <w:rtl/>
        </w:rPr>
        <w:t>דברים מסוימים שפירסם פלוני</w:t>
      </w:r>
      <w:r w:rsidRPr="00E10C9D">
        <w:rPr>
          <w:rFonts w:ascii="David" w:hAnsi="David"/>
          <w:b/>
          <w:bCs/>
        </w:rPr>
        <w:t xml:space="preserve"> </w:t>
      </w:r>
      <w:r w:rsidRPr="00E10C9D">
        <w:rPr>
          <w:rFonts w:ascii="David" w:hAnsi="David"/>
          <w:b/>
          <w:bCs/>
          <w:rtl/>
        </w:rPr>
        <w:t>עלולים להוות לשון הרע כלפי אדם פלמוני, אינו מבחן סובייקטיבי. המבחן הוא אובייקטיבי במהותו, לאמור: לא קובע, מה חושב הנתבע המרגיש עצמו נפגע. אלא הקובע הוא, כיצד עלולה החָברה לקבל את הדבר שבאותו פירסום</w:t>
      </w:r>
      <w:r w:rsidRPr="00E10C9D">
        <w:rPr>
          <w:rFonts w:ascii="David" w:hAnsi="David"/>
          <w:b/>
          <w:bCs/>
        </w:rPr>
        <w:t>.</w:t>
      </w:r>
      <w:r w:rsidRPr="00E10C9D">
        <w:rPr>
          <w:rFonts w:ascii="David" w:hAnsi="David"/>
          <w:b/>
          <w:bCs/>
          <w:rtl/>
        </w:rPr>
        <w:t>...</w:t>
      </w:r>
      <w:r w:rsidRPr="00E10C9D">
        <w:rPr>
          <w:rFonts w:ascii="David" w:hAnsi="David"/>
          <w:b/>
          <w:bCs/>
        </w:rPr>
        <w:t>"</w:t>
      </w:r>
      <w:r w:rsidRPr="00E10C9D">
        <w:rPr>
          <w:rFonts w:ascii="David" w:hAnsi="David"/>
          <w:b/>
          <w:bCs/>
          <w:rtl/>
        </w:rPr>
        <w:t xml:space="preserve">על התובע היה לשכנעני כי בפרסום כפי שהוא נעשה יש משום פחיתות כבוד. פחיתה זו צריכה להיות פחיתה לא בעיני חוג מצומצם בלבד, הגם שחוג זה הוא חשוב בשבילו דהיינו, חוג אנשי מקצועו".( </w:t>
      </w:r>
      <w:r w:rsidRPr="00E10C9D">
        <w:rPr>
          <w:rFonts w:ascii="David" w:hAnsi="David"/>
          <w:b/>
          <w:bCs/>
          <w:u w:val="single"/>
          <w:rtl/>
        </w:rPr>
        <w:t xml:space="preserve">ע"א 466/83  אג'מיאן שאהה, ארכיהגמון בכנסיה הארמנית בירושלים נ' הארכיהגמון יגישה דרדריאן  </w:t>
      </w:r>
      <w:r w:rsidRPr="00E10C9D">
        <w:rPr>
          <w:rFonts w:ascii="David" w:hAnsi="David"/>
          <w:b/>
          <w:bCs/>
          <w:rtl/>
        </w:rPr>
        <w:t>פ"ד מט (4) 740,734(09/01/1986). ...</w:t>
      </w:r>
    </w:p>
    <w:p w:rsidR="001417C6" w:rsidRPr="00E10C9D" w:rsidRDefault="001417C6" w:rsidP="001417C6">
      <w:pPr>
        <w:spacing w:line="360" w:lineRule="auto"/>
        <w:ind w:left="1433" w:hanging="720"/>
        <w:jc w:val="both"/>
        <w:rPr>
          <w:rFonts w:ascii="David" w:hAnsi="David"/>
          <w:b/>
          <w:bCs/>
          <w:rtl/>
        </w:rPr>
      </w:pPr>
      <w:r w:rsidRPr="00E10C9D">
        <w:rPr>
          <w:rFonts w:ascii="David" w:hAnsi="David"/>
          <w:b/>
          <w:bCs/>
          <w:rtl/>
        </w:rPr>
        <w:t>25.</w:t>
      </w:r>
      <w:r w:rsidRPr="00E10C9D">
        <w:rPr>
          <w:rFonts w:ascii="David" w:hAnsi="David"/>
          <w:b/>
          <w:bCs/>
          <w:rtl/>
        </w:rPr>
        <w:tab/>
        <w:t xml:space="preserve">דומני שמשמעות הרשת החברתית, מאפייניה והיקפה אינם דרושים להסברים לעת הזו (להרחבה ראו: פסק דינה של כבוד השופטת רותם קודלר-עייש: </w:t>
      </w:r>
      <w:r w:rsidRPr="00E10C9D">
        <w:rPr>
          <w:rFonts w:ascii="David" w:hAnsi="David"/>
          <w:b/>
          <w:bCs/>
          <w:u w:val="single"/>
          <w:rtl/>
        </w:rPr>
        <w:t>תמ"ש (ב"ש)  21757-10-11</w:t>
      </w:r>
      <w:r w:rsidRPr="00E10C9D">
        <w:rPr>
          <w:rFonts w:ascii="David" w:hAnsi="David"/>
          <w:b/>
          <w:bCs/>
          <w:rtl/>
        </w:rPr>
        <w:t xml:space="preserve"> </w:t>
      </w:r>
      <w:r w:rsidRPr="00E10C9D">
        <w:rPr>
          <w:rFonts w:ascii="David" w:hAnsi="David"/>
          <w:b/>
          <w:bCs/>
          <w:u w:val="single"/>
          <w:rtl/>
        </w:rPr>
        <w:t>פלונית אלמוני</w:t>
      </w:r>
      <w:r w:rsidRPr="00E10C9D">
        <w:rPr>
          <w:rFonts w:ascii="David" w:hAnsi="David"/>
          <w:b/>
          <w:bCs/>
          <w:rtl/>
        </w:rPr>
        <w:t xml:space="preserve"> ( 11/08/2013))." </w:t>
      </w:r>
    </w:p>
    <w:p w:rsidR="001417C6" w:rsidRPr="00E10C9D" w:rsidRDefault="001417C6" w:rsidP="001417C6">
      <w:pPr>
        <w:spacing w:line="360" w:lineRule="auto"/>
        <w:ind w:left="1433" w:hanging="720"/>
        <w:jc w:val="both"/>
        <w:rPr>
          <w:rFonts w:ascii="David" w:hAnsi="David"/>
          <w:b/>
          <w:bCs/>
          <w:rtl/>
        </w:rPr>
      </w:pPr>
    </w:p>
    <w:p w:rsidR="001417C6" w:rsidRPr="00E10C9D" w:rsidRDefault="001417C6" w:rsidP="001417C6">
      <w:pPr>
        <w:spacing w:line="360" w:lineRule="auto"/>
        <w:ind w:left="720" w:hanging="720"/>
        <w:jc w:val="both"/>
        <w:rPr>
          <w:rFonts w:ascii="David" w:hAnsi="David"/>
          <w:b/>
          <w:bCs/>
          <w:rtl/>
        </w:rPr>
      </w:pPr>
      <w:r w:rsidRPr="00E10C9D">
        <w:rPr>
          <w:rFonts w:ascii="David" w:hAnsi="David"/>
          <w:rtl/>
        </w:rPr>
        <w:t>33.</w:t>
      </w:r>
      <w:r w:rsidRPr="00E10C9D">
        <w:rPr>
          <w:rFonts w:ascii="David" w:hAnsi="David"/>
          <w:b/>
          <w:bCs/>
          <w:rtl/>
        </w:rPr>
        <w:tab/>
      </w:r>
      <w:r w:rsidRPr="00E10C9D">
        <w:rPr>
          <w:rFonts w:ascii="David" w:hAnsi="David"/>
          <w:u w:val="single"/>
          <w:rtl/>
        </w:rPr>
        <w:t>הפרסום הראשון</w:t>
      </w:r>
      <w:r w:rsidRPr="00E10C9D">
        <w:rPr>
          <w:rFonts w:ascii="David" w:hAnsi="David"/>
          <w:rtl/>
        </w:rPr>
        <w:t xml:space="preserve"> תיאר אב הנמצא עם ילדיו בגן שעשועים. הימים ימי תקופת הקורונה המגיפה פשטה ברחבי העולם, חוסר המידע, החרדה, המחלוקות בדבר משמעות המגפה, הנפטרים מהמחלה והתמונות באמצעי התקשורת של מחלוקות  הקורונה, העדר חיסון, הפרסומים השונים ברשתות החברתיות יצרו כאוס הבנתי והרגשתי. בנסיבות אלו התבקש הציבור לנקוט משנה זהירות, לשמור על הכללים, מי שהפר את התנאים נקנס ואף הוגשו נגדו כתבי אישום. התמונות עדיין טריות וחקוקות בעיני כול. תיאור של אב שחרף כל המגבלות לוקח על עצמו אחריות ולא מקיים את ההנחיות היא הפיכתו כמושא לאב בלתי ראוי לשון המעטה. אלא שבכך לא די. מתוך השורות עולה הכוונה לאב הספציפי הזה אשר רשלנותו כה רבה עד שהוא אטום לסכנה מוחשית לחיי ילדיו וחרף כל האזהרות אינו מבין שמדובר בחיי ילדיו. האשמה זו היא קשה ועולה כדי לשון הרע כשהיא מופצת ברשת החברתית. </w:t>
      </w:r>
    </w:p>
    <w:p w:rsidR="001417C6" w:rsidRPr="00E10C9D" w:rsidRDefault="001417C6" w:rsidP="001417C6">
      <w:pPr>
        <w:spacing w:line="360" w:lineRule="auto"/>
        <w:ind w:left="720" w:hanging="720"/>
        <w:jc w:val="both"/>
        <w:rPr>
          <w:rFonts w:ascii="David" w:hAnsi="David"/>
          <w:b/>
          <w:bCs/>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34.</w:t>
      </w:r>
      <w:r w:rsidRPr="00E10C9D">
        <w:rPr>
          <w:rFonts w:ascii="David" w:hAnsi="David"/>
          <w:rtl/>
        </w:rPr>
        <w:tab/>
      </w:r>
      <w:r w:rsidRPr="00E10C9D">
        <w:rPr>
          <w:rFonts w:ascii="David" w:hAnsi="David"/>
          <w:u w:val="single"/>
          <w:rtl/>
        </w:rPr>
        <w:t>הפרסום השני</w:t>
      </w:r>
      <w:r w:rsidRPr="00E10C9D">
        <w:rPr>
          <w:rFonts w:ascii="David" w:hAnsi="David"/>
          <w:rtl/>
        </w:rPr>
        <w:t xml:space="preserve">, מתאר את האב כמי שלא  משלם מזונות ובנוסף לכך מבקש לקחת לידיו את קצבת הנכות של הבן. בפרסום זה יש הפניה ישירה אל מ. דומה שלא יכולה לקום מחלוקת שקביעה ברשת חברתית שאב פוגע בילדו בן ה-4 (בעת פרסום הפוסט) הן על דרך אי תשלום מזונות והן על דרך ניסיון לקבל לידיו את  מחצית קצבת הנכות מהווה הוספת חטא על פשע. האשמה של אב בפעולה זו ברשת החברתית היא לשון הרע.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b/>
          <w:bCs/>
          <w:u w:val="single"/>
          <w:rtl/>
        </w:rPr>
      </w:pPr>
      <w:r w:rsidRPr="00E10C9D">
        <w:rPr>
          <w:rFonts w:ascii="David" w:hAnsi="David"/>
          <w:b/>
          <w:bCs/>
          <w:u w:val="single"/>
          <w:rtl/>
        </w:rPr>
        <w:t>האם מדובר בפרסומים מותרים  מכוח סעיף 13 לחוק?</w:t>
      </w:r>
    </w:p>
    <w:p w:rsidR="001417C6" w:rsidRPr="00E10C9D" w:rsidRDefault="001417C6" w:rsidP="001417C6">
      <w:pPr>
        <w:spacing w:line="360" w:lineRule="auto"/>
        <w:ind w:left="720" w:hanging="720"/>
        <w:jc w:val="both"/>
        <w:rPr>
          <w:rFonts w:ascii="David" w:hAnsi="David"/>
          <w:b/>
          <w:bCs/>
          <w:u w:val="single"/>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35.</w:t>
      </w:r>
      <w:r w:rsidRPr="00E10C9D">
        <w:rPr>
          <w:rFonts w:ascii="David" w:hAnsi="David"/>
          <w:rtl/>
        </w:rPr>
        <w:tab/>
      </w:r>
      <w:r w:rsidRPr="00E10C9D">
        <w:rPr>
          <w:rFonts w:ascii="David" w:hAnsi="David"/>
          <w:u w:val="single"/>
          <w:rtl/>
        </w:rPr>
        <w:t>ביחס לפרסום הראשון</w:t>
      </w:r>
      <w:r w:rsidRPr="00E10C9D">
        <w:rPr>
          <w:rFonts w:ascii="David" w:hAnsi="David"/>
          <w:rtl/>
        </w:rPr>
        <w:t xml:space="preserve"> – יודגש שהגם שקבעתי שהפרסום הראשון הוא פרסום העולה כדי לשון הרע אין בפרסום זה, כטענת א., כל אזכור הקושר את הפרסום למ. לתיק לא צורף הסרטון עליו הלין מ. בתביעתו. כל שצורף לתיק הוא תמונה מטושטשת אחת בה לא ניתן לזהות לבד מכתמי צבע דבר וחצי דבר. משכך אין לי עוד צורך לבחון האם עומדת לא. הגנת אמת דיברתי ותום לב שכן אין לפני ראיה ממנה ניתן ללמוד ולראות שמדובר במ.  </w:t>
      </w: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נקבע</w:t>
      </w:r>
      <w:r w:rsidRPr="00E10C9D">
        <w:rPr>
          <w:rFonts w:ascii="David" w:hAnsi="David"/>
          <w:b/>
          <w:bCs/>
          <w:rtl/>
        </w:rPr>
        <w:t xml:space="preserve"> </w:t>
      </w:r>
      <w:r w:rsidRPr="00E10C9D">
        <w:rPr>
          <w:rFonts w:ascii="David" w:hAnsi="David"/>
          <w:rtl/>
        </w:rPr>
        <w:t xml:space="preserve">"... </w:t>
      </w:r>
      <w:r w:rsidRPr="00E10C9D">
        <w:rPr>
          <w:rFonts w:ascii="David" w:hAnsi="David"/>
          <w:b/>
          <w:bCs/>
          <w:rtl/>
        </w:rPr>
        <w:t>יש והדרך שבה מנהל בעל דין את עניינו בבית המשפט הנה בעלת משמעות ראייתית כאילו הייתה זו ראייה נסיבתית. כך ניתן להעניק משמעות ראייתית: לאי הבאת ראיה, לאי השמעת עד, לאי הצגת שאלות לעד..."</w:t>
      </w:r>
      <w:r w:rsidRPr="00E10C9D">
        <w:rPr>
          <w:rFonts w:ascii="David" w:hAnsi="David"/>
          <w:rtl/>
        </w:rPr>
        <w:t xml:space="preserve"> (ראו: יעקב קדמי </w:t>
      </w:r>
      <w:r w:rsidRPr="00E10C9D">
        <w:rPr>
          <w:rFonts w:ascii="David" w:hAnsi="David"/>
          <w:u w:val="single"/>
          <w:rtl/>
        </w:rPr>
        <w:t>על הראיות</w:t>
      </w:r>
      <w:r w:rsidRPr="00E10C9D">
        <w:rPr>
          <w:rFonts w:ascii="David" w:hAnsi="David"/>
          <w:rtl/>
        </w:rPr>
        <w:t xml:space="preserve"> (חלק שלישי) (1999) (להלן: </w:t>
      </w:r>
      <w:r w:rsidRPr="00E10C9D">
        <w:rPr>
          <w:rFonts w:ascii="David" w:hAnsi="David"/>
          <w:b/>
          <w:bCs/>
          <w:rtl/>
        </w:rPr>
        <w:t>קדמי</w:t>
      </w:r>
      <w:r w:rsidRPr="00E10C9D">
        <w:rPr>
          <w:rFonts w:ascii="David" w:hAnsi="David"/>
          <w:rtl/>
        </w:rPr>
        <w:t>) בעמ' 1391).</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 xml:space="preserve">ממשיך קדמי וקובע </w:t>
      </w:r>
      <w:r w:rsidRPr="00E10C9D">
        <w:rPr>
          <w:rFonts w:ascii="David" w:hAnsi="David"/>
          <w:b/>
          <w:bCs/>
          <w:rtl/>
        </w:rPr>
        <w:t>"... הימנעות מהבאת ראיה- במשמעות הרחבה של המושג כמוסבר לעיל – מקימה למעשה לחובתו של הנמנע חזקה שבעובדה, הנעוצה בהגיון ובניסיון החיים לפיה דין ההימנעות ודין הודאה בכך שאילו הובאה אותה ראיה הייתה פועלת לחובת הנמנע. בדרך זו ניתן למעשה משקל ראייתי לראיה שלא הובאה"</w:t>
      </w:r>
      <w:r w:rsidRPr="00E10C9D">
        <w:rPr>
          <w:rFonts w:ascii="David" w:hAnsi="David"/>
          <w:rtl/>
        </w:rPr>
        <w:t xml:space="preserve"> (ראו: שם וכן ה"ש 192).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hanging="720"/>
        <w:jc w:val="both"/>
        <w:rPr>
          <w:rFonts w:ascii="David" w:hAnsi="David"/>
          <w:b/>
          <w:bCs/>
        </w:rPr>
      </w:pPr>
      <w:r w:rsidRPr="00E10C9D">
        <w:rPr>
          <w:rFonts w:ascii="David" w:hAnsi="David"/>
          <w:rtl/>
        </w:rPr>
        <w:t>36.</w:t>
      </w:r>
      <w:r w:rsidRPr="00E10C9D">
        <w:rPr>
          <w:rFonts w:ascii="David" w:hAnsi="David"/>
          <w:rtl/>
        </w:rPr>
        <w:tab/>
      </w:r>
      <w:r w:rsidRPr="00E10C9D">
        <w:rPr>
          <w:rFonts w:ascii="David" w:hAnsi="David"/>
          <w:u w:val="single"/>
          <w:rtl/>
        </w:rPr>
        <w:t>ביחס לפרסום השני</w:t>
      </w:r>
      <w:r w:rsidRPr="00E10C9D">
        <w:rPr>
          <w:rFonts w:ascii="David" w:hAnsi="David"/>
          <w:rtl/>
        </w:rPr>
        <w:t>-טענת ההגנה של א. היא אמת דיברתי כך כתבה בכתב הגנתה</w:t>
      </w:r>
      <w:r w:rsidRPr="00E10C9D">
        <w:rPr>
          <w:rFonts w:ascii="David" w:hAnsi="David"/>
          <w:b/>
          <w:bCs/>
          <w:rtl/>
        </w:rPr>
        <w:t xml:space="preserve">  "כי הפרסום אמת ביחס למציאות העובדתית, כפי שהייתה ידועה בעת הפרסום ...ושנית – כי יש בו משום עניין או תועלת ציבורית בהתאם לנורמות חברתיות נהוגות הראויות להגנה" </w:t>
      </w:r>
      <w:r w:rsidRPr="00E10C9D">
        <w:rPr>
          <w:rFonts w:ascii="David" w:hAnsi="David"/>
          <w:rtl/>
        </w:rPr>
        <w:t>ובהמשך</w:t>
      </w:r>
      <w:r w:rsidRPr="00E10C9D">
        <w:rPr>
          <w:rFonts w:ascii="David" w:hAnsi="David"/>
          <w:b/>
          <w:bCs/>
          <w:rtl/>
        </w:rPr>
        <w:t xml:space="preserve"> </w:t>
      </w:r>
      <w:r w:rsidRPr="00E10C9D">
        <w:rPr>
          <w:rFonts w:ascii="David" w:hAnsi="David"/>
          <w:rtl/>
        </w:rPr>
        <w:t>עצם</w:t>
      </w:r>
      <w:r w:rsidRPr="00E10C9D">
        <w:rPr>
          <w:rFonts w:ascii="David" w:hAnsi="David"/>
          <w:b/>
          <w:bCs/>
          <w:rtl/>
        </w:rPr>
        <w:t xml:space="preserve"> " הפרסום על פיו התובע לא משלם מזונות – מקים תועלת ציבורית מוצדקת שלא ניתן לערער עליה". </w:t>
      </w:r>
    </w:p>
    <w:p w:rsidR="001417C6" w:rsidRPr="00E10C9D" w:rsidRDefault="001417C6" w:rsidP="001417C6">
      <w:pPr>
        <w:spacing w:line="360" w:lineRule="auto"/>
        <w:ind w:left="720" w:hanging="720"/>
        <w:jc w:val="both"/>
        <w:rPr>
          <w:rFonts w:ascii="David" w:hAnsi="David"/>
          <w:b/>
          <w:bCs/>
          <w:rtl/>
        </w:rPr>
      </w:pPr>
    </w:p>
    <w:p w:rsidR="001417C6" w:rsidRPr="00E10C9D" w:rsidRDefault="001417C6" w:rsidP="001417C6">
      <w:pPr>
        <w:spacing w:line="360" w:lineRule="auto"/>
        <w:ind w:left="720"/>
        <w:jc w:val="both"/>
        <w:rPr>
          <w:rFonts w:ascii="David" w:hAnsi="David"/>
          <w:rtl/>
        </w:rPr>
      </w:pPr>
      <w:r w:rsidRPr="00E10C9D">
        <w:rPr>
          <w:rFonts w:ascii="David" w:hAnsi="David"/>
          <w:rtl/>
        </w:rPr>
        <w:t xml:space="preserve">ובכן, אני קובע שקביעה זו ראויה גם ראויה לערעור ולהרהור. </w:t>
      </w:r>
      <w:r w:rsidRPr="00E10C9D">
        <w:rPr>
          <w:rFonts w:ascii="David" w:hAnsi="David"/>
          <w:b/>
          <w:bCs/>
          <w:rtl/>
        </w:rPr>
        <w:t xml:space="preserve"> </w:t>
      </w:r>
      <w:r w:rsidRPr="00E10C9D">
        <w:rPr>
          <w:rFonts w:ascii="David" w:hAnsi="David"/>
          <w:rtl/>
        </w:rPr>
        <w:t>ב-</w:t>
      </w:r>
      <w:r w:rsidRPr="00E10C9D">
        <w:rPr>
          <w:rFonts w:ascii="David" w:hAnsi="David"/>
          <w:u w:val="single"/>
          <w:rtl/>
        </w:rPr>
        <w:t xml:space="preserve">ת"א  42856-06-16 </w:t>
      </w:r>
      <w:r w:rsidRPr="00E10C9D">
        <w:rPr>
          <w:rFonts w:ascii="David" w:hAnsi="David"/>
          <w:b/>
          <w:bCs/>
          <w:rtl/>
        </w:rPr>
        <w:t>ביטון נ' עובדיה</w:t>
      </w:r>
      <w:r w:rsidRPr="00E10C9D">
        <w:rPr>
          <w:rFonts w:ascii="David" w:hAnsi="David"/>
          <w:rtl/>
        </w:rPr>
        <w:t>( 5/4/2020))</w:t>
      </w:r>
      <w:r w:rsidRPr="00E10C9D">
        <w:rPr>
          <w:rFonts w:ascii="David" w:hAnsi="David"/>
          <w:b/>
          <w:bCs/>
          <w:rtl/>
        </w:rPr>
        <w:t xml:space="preserve"> (</w:t>
      </w:r>
      <w:r w:rsidRPr="00E10C9D">
        <w:rPr>
          <w:rFonts w:ascii="David" w:hAnsi="David"/>
          <w:rtl/>
        </w:rPr>
        <w:t>התייחסתי לסוג זה של טענות משל הדרך לפתרון מחלוקת, גם אם היא נכונה, על ידי הבאשת מושא הדיון ברשת החברתית). כך כתבתי שם</w:t>
      </w:r>
      <w:r w:rsidRPr="00E10C9D">
        <w:rPr>
          <w:rFonts w:ascii="David" w:hAnsi="David"/>
          <w:b/>
          <w:bCs/>
          <w:rtl/>
        </w:rPr>
        <w:t xml:space="preserve"> "הקלות של הפיכת הרשת, כיכר העיר הוירטואלית, למכשיר לבוא חשבון עם מי שנדמה לכותב שלא פעל כמצופה ממנו ומבלי לתת לו הזדמנות להשיב על הדברים טרם פרסומם תוך כדי ידיעה מוצקה שהפרסום, </w:t>
      </w:r>
      <w:r w:rsidRPr="00E10C9D">
        <w:rPr>
          <w:rFonts w:ascii="David" w:hAnsi="David"/>
          <w:rtl/>
        </w:rPr>
        <w:t>...</w:t>
      </w:r>
      <w:r w:rsidRPr="00E10C9D">
        <w:rPr>
          <w:rFonts w:ascii="David" w:hAnsi="David"/>
          <w:b/>
          <w:bCs/>
          <w:rtl/>
        </w:rPr>
        <w:t xml:space="preserve"> אינו משקף הדברים כהוויתם הופך את חופש הביטוי לחופש השיסוי והביזוי ולכך אין לתת את היד".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 xml:space="preserve">דברים אלו נכונים שבעתיים שעה ששם דובר על מי שאמורה לתת שירות לציבור וכאן מדובר במערכת יחסים אישית של מ. ו- א. הדברים שכתבה א. אינם על מנת ליידע את הציבור במדינת ישראל שיש אב שלא משלם מזונות או מבקש לקחת לעצמו מחצית מהקצבה של בנו. מטרת הפרסום ברשת החברתית, כאשר הסיפא היא "בושה" כשמה כן היא- האיש שעושה כן עושה מעשה לא ראוי לשון המעטה, אמור להתבייש והפוסט הזה נועד לביישו. לא מדובר בהבעת דעה. מדובר בדברים המכוונים לרגשות מידיים של  הקורא </w:t>
      </w:r>
      <w:r w:rsidRPr="00E10C9D">
        <w:rPr>
          <w:rFonts w:ascii="David" w:hAnsi="David"/>
          <w:rtl/>
        </w:rPr>
        <w:lastRenderedPageBreak/>
        <w:t xml:space="preserve">המייצרים אצל הקורא תחושה קשה של אב הלקוּח  ממחזהו של שקספיר 'הסוחר מוונציה' המתעמר בבנו הנכה בשל חמדנות, אהבתו לכסף.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 xml:space="preserve">ומה לו לציבור להיכנס למחלוקת שבין א. ל-מ. בדבר תשלום דמי מזונות או לאי תשלומם ומה לו לציבור לדעת שלצדדים בן המקבל קצבת נכות. </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20"/>
        <w:jc w:val="both"/>
        <w:rPr>
          <w:rFonts w:ascii="David" w:hAnsi="David"/>
          <w:rtl/>
        </w:rPr>
      </w:pPr>
      <w:r w:rsidRPr="00E10C9D">
        <w:rPr>
          <w:rFonts w:ascii="David" w:hAnsi="David"/>
          <w:rtl/>
        </w:rPr>
        <w:t>משכך אני קובע שהפרסום השני הוא לשון הרע של א. כלפי מ.</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14" w:hanging="630"/>
        <w:jc w:val="both"/>
        <w:rPr>
          <w:rFonts w:ascii="David" w:hAnsi="David"/>
          <w:u w:val="single"/>
          <w:rtl/>
        </w:rPr>
      </w:pPr>
      <w:r w:rsidRPr="00E10C9D">
        <w:rPr>
          <w:rFonts w:ascii="David" w:hAnsi="David"/>
          <w:rtl/>
        </w:rPr>
        <w:t>37.</w:t>
      </w:r>
      <w:r w:rsidRPr="00E10C9D">
        <w:rPr>
          <w:rFonts w:ascii="David" w:hAnsi="David"/>
          <w:rtl/>
        </w:rPr>
        <w:tab/>
      </w:r>
      <w:r w:rsidRPr="00E10C9D">
        <w:rPr>
          <w:rFonts w:ascii="David" w:hAnsi="David"/>
          <w:u w:val="single"/>
          <w:rtl/>
        </w:rPr>
        <w:t>בשים לב לאמור לעיל אני מקבל את תביעתו של מ. כלפי א. בפרסום השני ולאור התוצאה אליה הגעתי. א. תישא בהוצאות מ. (התובע) בסך 20,000 ₪.</w:t>
      </w:r>
    </w:p>
    <w:p w:rsidR="001417C6" w:rsidRPr="00E10C9D" w:rsidRDefault="001417C6" w:rsidP="001417C6">
      <w:pPr>
        <w:spacing w:line="360" w:lineRule="auto"/>
        <w:ind w:left="714" w:hanging="630"/>
        <w:jc w:val="both"/>
        <w:rPr>
          <w:rFonts w:ascii="David" w:hAnsi="David"/>
          <w:u w:val="single"/>
          <w:rtl/>
        </w:rPr>
      </w:pPr>
    </w:p>
    <w:p w:rsidR="001417C6" w:rsidRPr="00E10C9D" w:rsidRDefault="001417C6" w:rsidP="001417C6">
      <w:pPr>
        <w:spacing w:line="360" w:lineRule="auto"/>
        <w:ind w:left="84"/>
        <w:jc w:val="both"/>
        <w:rPr>
          <w:rFonts w:ascii="David" w:hAnsi="David"/>
          <w:b/>
          <w:bCs/>
          <w:rtl/>
        </w:rPr>
      </w:pPr>
      <w:r w:rsidRPr="00E10C9D">
        <w:rPr>
          <w:rFonts w:ascii="David" w:hAnsi="David"/>
          <w:rtl/>
        </w:rPr>
        <w:t xml:space="preserve"> </w:t>
      </w:r>
      <w:r w:rsidRPr="00E10C9D">
        <w:rPr>
          <w:rFonts w:ascii="David" w:hAnsi="David"/>
          <w:rtl/>
        </w:rPr>
        <w:tab/>
      </w:r>
      <w:r w:rsidRPr="00E10C9D">
        <w:rPr>
          <w:rFonts w:ascii="David" w:hAnsi="David"/>
          <w:b/>
          <w:bCs/>
          <w:u w:val="single"/>
          <w:rtl/>
        </w:rPr>
        <w:t>התביעה שכנגד</w:t>
      </w:r>
      <w:r w:rsidRPr="00E10C9D">
        <w:rPr>
          <w:rFonts w:ascii="David" w:hAnsi="David"/>
          <w:b/>
          <w:bCs/>
          <w:rtl/>
        </w:rPr>
        <w:t>:</w:t>
      </w:r>
    </w:p>
    <w:p w:rsidR="001417C6" w:rsidRPr="00E10C9D" w:rsidRDefault="001417C6" w:rsidP="001417C6">
      <w:pPr>
        <w:spacing w:line="360" w:lineRule="auto"/>
        <w:ind w:left="84"/>
        <w:jc w:val="both"/>
        <w:rPr>
          <w:rFonts w:ascii="David" w:hAnsi="David"/>
          <w:b/>
          <w:bCs/>
          <w:rtl/>
        </w:rPr>
      </w:pPr>
    </w:p>
    <w:p w:rsidR="001417C6" w:rsidRPr="00E10C9D" w:rsidRDefault="001417C6" w:rsidP="001417C6">
      <w:pPr>
        <w:spacing w:line="360" w:lineRule="auto"/>
        <w:ind w:left="720" w:hanging="6"/>
        <w:jc w:val="both"/>
        <w:rPr>
          <w:rFonts w:ascii="David" w:hAnsi="David"/>
          <w:b/>
          <w:bCs/>
          <w:u w:val="single"/>
          <w:rtl/>
        </w:rPr>
      </w:pPr>
      <w:r w:rsidRPr="00E10C9D">
        <w:rPr>
          <w:rFonts w:ascii="David" w:hAnsi="David"/>
          <w:b/>
          <w:bCs/>
          <w:u w:val="single"/>
          <w:rtl/>
        </w:rPr>
        <w:t>האם מדובר בפרסומים</w:t>
      </w:r>
      <w:r w:rsidRPr="00E10C9D">
        <w:rPr>
          <w:rFonts w:ascii="David" w:hAnsi="David"/>
          <w:b/>
          <w:bCs/>
          <w:rtl/>
        </w:rPr>
        <w:t>?</w:t>
      </w:r>
    </w:p>
    <w:p w:rsidR="001417C6" w:rsidRPr="00E10C9D" w:rsidRDefault="001417C6" w:rsidP="001417C6">
      <w:pPr>
        <w:spacing w:line="360" w:lineRule="auto"/>
        <w:ind w:left="720" w:hanging="6"/>
        <w:jc w:val="both"/>
        <w:rPr>
          <w:rFonts w:ascii="David" w:hAnsi="David"/>
          <w:b/>
          <w:bCs/>
          <w:u w:val="single"/>
          <w:rtl/>
        </w:rPr>
      </w:pPr>
    </w:p>
    <w:p w:rsidR="001417C6" w:rsidRPr="00E10C9D" w:rsidRDefault="001417C6" w:rsidP="001417C6">
      <w:pPr>
        <w:pStyle w:val="P22"/>
        <w:tabs>
          <w:tab w:val="left" w:pos="720"/>
        </w:tabs>
        <w:spacing w:before="72" w:line="360" w:lineRule="auto"/>
        <w:ind w:left="714" w:right="0" w:hanging="630"/>
        <w:rPr>
          <w:rFonts w:ascii="David" w:hAnsi="David" w:cs="David"/>
          <w:sz w:val="24"/>
          <w:szCs w:val="24"/>
          <w:rtl/>
        </w:rPr>
      </w:pPr>
      <w:r w:rsidRPr="00E10C9D">
        <w:rPr>
          <w:rFonts w:ascii="David" w:hAnsi="David" w:cs="David"/>
          <w:sz w:val="24"/>
          <w:szCs w:val="24"/>
          <w:rtl/>
        </w:rPr>
        <w:t>38.</w:t>
      </w:r>
      <w:r w:rsidRPr="00E10C9D">
        <w:rPr>
          <w:rFonts w:ascii="David" w:hAnsi="David" w:cs="David"/>
          <w:sz w:val="24"/>
          <w:szCs w:val="24"/>
          <w:rtl/>
        </w:rPr>
        <w:tab/>
        <w:t xml:space="preserve">לאור הגדרת 'פרסום' כפי שהובאה לעיל לעניין התביעה השנייה הרי ששני הפרסומים עונים להגדרת פרסום  על פי סעיף 2 (ב) (1) לחוק. </w:t>
      </w:r>
    </w:p>
    <w:p w:rsidR="001417C6" w:rsidRPr="00E10C9D" w:rsidRDefault="001417C6" w:rsidP="001417C6">
      <w:pPr>
        <w:pStyle w:val="P22"/>
        <w:tabs>
          <w:tab w:val="left" w:pos="720"/>
        </w:tabs>
        <w:spacing w:before="72" w:line="360" w:lineRule="auto"/>
        <w:ind w:left="714" w:right="0" w:hanging="630"/>
        <w:rPr>
          <w:rFonts w:ascii="David" w:hAnsi="David" w:cs="David"/>
          <w:sz w:val="24"/>
          <w:szCs w:val="24"/>
          <w:rtl/>
        </w:rPr>
      </w:pPr>
    </w:p>
    <w:p w:rsidR="001417C6" w:rsidRPr="00E10C9D" w:rsidRDefault="001417C6" w:rsidP="001417C6">
      <w:pPr>
        <w:spacing w:line="360" w:lineRule="auto"/>
        <w:ind w:left="720" w:hanging="720"/>
        <w:jc w:val="both"/>
        <w:rPr>
          <w:rFonts w:ascii="David" w:hAnsi="David"/>
          <w:b/>
          <w:bCs/>
          <w:u w:val="single"/>
          <w:rtl/>
        </w:rPr>
      </w:pPr>
      <w:r w:rsidRPr="00E10C9D">
        <w:rPr>
          <w:rFonts w:ascii="David" w:hAnsi="David"/>
          <w:b/>
          <w:bCs/>
          <w:u w:val="single"/>
          <w:rtl/>
        </w:rPr>
        <w:t>האם הפרסומים הם של הצדדים?</w:t>
      </w:r>
    </w:p>
    <w:p w:rsidR="001417C6" w:rsidRPr="00E10C9D" w:rsidRDefault="001417C6" w:rsidP="001417C6">
      <w:pPr>
        <w:pStyle w:val="P22"/>
        <w:tabs>
          <w:tab w:val="left" w:pos="720"/>
        </w:tabs>
        <w:spacing w:before="72" w:line="360" w:lineRule="auto"/>
        <w:ind w:left="714" w:right="0" w:hanging="630"/>
        <w:rPr>
          <w:rStyle w:val="default"/>
          <w:rFonts w:ascii="David" w:eastAsiaTheme="majorEastAsia" w:hAnsi="David" w:cs="David"/>
          <w:sz w:val="24"/>
          <w:szCs w:val="24"/>
        </w:rPr>
      </w:pPr>
      <w:r w:rsidRPr="00E10C9D">
        <w:rPr>
          <w:rStyle w:val="default"/>
          <w:rFonts w:ascii="David" w:eastAsiaTheme="majorEastAsia" w:hAnsi="David" w:cs="David"/>
          <w:sz w:val="24"/>
          <w:szCs w:val="24"/>
          <w:rtl/>
        </w:rPr>
        <w:t>39.</w:t>
      </w:r>
      <w:r w:rsidRPr="00E10C9D">
        <w:rPr>
          <w:rStyle w:val="default"/>
          <w:rFonts w:ascii="David" w:eastAsiaTheme="majorEastAsia" w:hAnsi="David" w:cs="David"/>
          <w:sz w:val="24"/>
          <w:szCs w:val="24"/>
          <w:rtl/>
        </w:rPr>
        <w:tab/>
        <w:t xml:space="preserve">על פי  הנטען הדברים נאמרו על ידי א. ונשמעו על ידי החָברה ואותה דיירת ש.ח. שמה. לתיק  צורפו תצהיריהן של החָברה והדיירת.  הדיירת לא הובאה לעדות ועל כן עדותה לאו עדות היא מקל וחומר שהגישה תצהיר ולא העמידה עצמה לחקירה עליו. </w:t>
      </w:r>
    </w:p>
    <w:p w:rsidR="001417C6" w:rsidRPr="00E10C9D" w:rsidRDefault="001417C6" w:rsidP="001417C6">
      <w:pPr>
        <w:pStyle w:val="P22"/>
        <w:tabs>
          <w:tab w:val="left" w:pos="720"/>
        </w:tabs>
        <w:spacing w:before="72" w:line="360" w:lineRule="auto"/>
        <w:ind w:left="714" w:right="0" w:hanging="630"/>
        <w:rPr>
          <w:rStyle w:val="default"/>
          <w:rFonts w:ascii="David" w:eastAsiaTheme="majorEastAsia" w:hAnsi="David" w:cs="David"/>
          <w:sz w:val="24"/>
          <w:szCs w:val="24"/>
          <w:rtl/>
        </w:rPr>
      </w:pPr>
    </w:p>
    <w:p w:rsidR="001417C6" w:rsidRPr="00E10C9D" w:rsidRDefault="001417C6" w:rsidP="001417C6">
      <w:pPr>
        <w:spacing w:line="360" w:lineRule="auto"/>
        <w:ind w:left="720"/>
        <w:jc w:val="both"/>
        <w:rPr>
          <w:rFonts w:ascii="David" w:eastAsiaTheme="minorHAnsi" w:hAnsi="David"/>
          <w:rtl/>
        </w:rPr>
      </w:pPr>
      <w:r w:rsidRPr="00E10C9D">
        <w:rPr>
          <w:rFonts w:ascii="David" w:hAnsi="David"/>
          <w:rtl/>
        </w:rPr>
        <w:t>ב-</w:t>
      </w:r>
      <w:r w:rsidRPr="00E10C9D">
        <w:rPr>
          <w:rFonts w:ascii="David" w:hAnsi="David"/>
          <w:u w:val="single"/>
          <w:rtl/>
        </w:rPr>
        <w:t xml:space="preserve">ע"א 240/77 </w:t>
      </w:r>
      <w:r w:rsidRPr="00E10C9D">
        <w:rPr>
          <w:rFonts w:ascii="David" w:hAnsi="David"/>
          <w:b/>
          <w:bCs/>
          <w:rtl/>
        </w:rPr>
        <w:t xml:space="preserve"> נקבע </w:t>
      </w:r>
      <w:r w:rsidRPr="00E10C9D">
        <w:rPr>
          <w:rFonts w:ascii="David" w:hAnsi="David"/>
          <w:rtl/>
        </w:rPr>
        <w:t xml:space="preserve">"... </w:t>
      </w:r>
      <w:r w:rsidRPr="00E10C9D">
        <w:rPr>
          <w:rFonts w:ascii="David" w:hAnsi="David"/>
          <w:b/>
          <w:bCs/>
          <w:rtl/>
        </w:rPr>
        <w:t>על הכלל שאי הבאתו של עד רלבנטי יוצרת הנחה לרעת הצד שאמור היה להזמינו עמד בית משפט נכבד זה בע"פ 112/52... ובע"א 373/54..."</w:t>
      </w:r>
      <w:r w:rsidRPr="00E10C9D">
        <w:rPr>
          <w:rFonts w:ascii="David" w:hAnsi="David"/>
          <w:rtl/>
        </w:rPr>
        <w:t xml:space="preserve"> ( קדמי  עמ' 1393).</w:t>
      </w:r>
    </w:p>
    <w:p w:rsidR="001417C6" w:rsidRPr="00E10C9D" w:rsidRDefault="001417C6" w:rsidP="001417C6">
      <w:pPr>
        <w:spacing w:line="360" w:lineRule="auto"/>
        <w:ind w:left="720"/>
        <w:jc w:val="both"/>
        <w:rPr>
          <w:rFonts w:ascii="David" w:eastAsiaTheme="minorHAnsi"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 xml:space="preserve">בעניין אי הבאת עד לעדות נשוב ונזכיר כי בהתאם להלכה הפסוקה </w:t>
      </w:r>
      <w:r w:rsidRPr="00E10C9D">
        <w:rPr>
          <w:rFonts w:ascii="David" w:hAnsi="David"/>
          <w:b/>
          <w:bCs/>
          <w:rtl/>
        </w:rPr>
        <w:t>"אי הבאת עד רלוונטי מעוררת, מדרך הטבע, את החשד, כי יש דברים בגו וכי בעל הדין, שנמנע מהבאתו, חושש מעדותו מחשיפתו לחקירה שכנגד ... אי העדת עד רלוונטי יוצרת הנחה לרעת הצד שאמור היה להזמינו</w:t>
      </w:r>
      <w:r w:rsidRPr="00E10C9D">
        <w:rPr>
          <w:rFonts w:ascii="David" w:hAnsi="David"/>
          <w:b/>
          <w:bCs/>
          <w:spacing w:val="-4"/>
          <w:rtl/>
        </w:rPr>
        <w:t>.."</w:t>
      </w:r>
      <w:r w:rsidRPr="00E10C9D">
        <w:rPr>
          <w:rFonts w:ascii="David" w:hAnsi="David"/>
          <w:spacing w:val="-4"/>
          <w:rtl/>
        </w:rPr>
        <w:t xml:space="preserve">( </w:t>
      </w:r>
      <w:hyperlink r:id="rId24" w:history="1">
        <w:r w:rsidRPr="00E10C9D">
          <w:rPr>
            <w:rStyle w:val="Hyperlink"/>
            <w:rFonts w:ascii="David" w:hAnsi="David" w:cs="David"/>
            <w:color w:val="auto"/>
            <w:spacing w:val="-4"/>
            <w:rtl/>
          </w:rPr>
          <w:t>ע"א 641/87</w:t>
        </w:r>
      </w:hyperlink>
      <w:r w:rsidRPr="00E10C9D">
        <w:rPr>
          <w:rFonts w:ascii="David" w:hAnsi="David"/>
          <w:spacing w:val="-4"/>
          <w:rtl/>
        </w:rPr>
        <w:t xml:space="preserve"> </w:t>
      </w:r>
      <w:r w:rsidRPr="00E10C9D">
        <w:rPr>
          <w:rFonts w:ascii="David" w:hAnsi="David"/>
          <w:b/>
          <w:bCs/>
          <w:spacing w:val="-4"/>
          <w:rtl/>
        </w:rPr>
        <w:t>קלוגר נ' החברה הישראלית לטרקטורים וציון בע"מ</w:t>
      </w:r>
      <w:r w:rsidRPr="00E10C9D">
        <w:rPr>
          <w:rFonts w:ascii="David" w:hAnsi="David"/>
          <w:spacing w:val="-4"/>
          <w:rtl/>
        </w:rPr>
        <w:t>, פ"ד מד (1) 239 8/1/1990)).</w:t>
      </w:r>
      <w:r w:rsidRPr="00E10C9D">
        <w:rPr>
          <w:rFonts w:ascii="David" w:hAnsi="David"/>
          <w:rtl/>
        </w:rPr>
        <w:tab/>
      </w:r>
    </w:p>
    <w:p w:rsidR="001417C6" w:rsidRPr="00E10C9D" w:rsidRDefault="001417C6" w:rsidP="001417C6">
      <w:pPr>
        <w:spacing w:line="360" w:lineRule="auto"/>
        <w:ind w:left="720" w:hanging="720"/>
        <w:jc w:val="both"/>
        <w:rPr>
          <w:rFonts w:ascii="David" w:hAnsi="David"/>
          <w:rtl/>
        </w:rPr>
      </w:pPr>
      <w:r w:rsidRPr="00E10C9D">
        <w:rPr>
          <w:rFonts w:ascii="David" w:hAnsi="David"/>
          <w:rtl/>
        </w:rPr>
        <w:t xml:space="preserve"> </w:t>
      </w:r>
    </w:p>
    <w:p w:rsidR="001417C6" w:rsidRPr="00E10C9D" w:rsidRDefault="001417C6" w:rsidP="001417C6">
      <w:pPr>
        <w:spacing w:line="360" w:lineRule="auto"/>
        <w:ind w:left="720" w:hanging="6"/>
        <w:jc w:val="both"/>
        <w:rPr>
          <w:rFonts w:ascii="David" w:hAnsi="David"/>
          <w:rtl/>
        </w:rPr>
      </w:pPr>
      <w:r w:rsidRPr="00E10C9D">
        <w:rPr>
          <w:rFonts w:ascii="David" w:hAnsi="David"/>
          <w:rtl/>
        </w:rPr>
        <w:t xml:space="preserve">לעניין אי הבאת עד לעדות נפסק - </w:t>
      </w:r>
      <w:r w:rsidRPr="00E10C9D">
        <w:rPr>
          <w:rFonts w:ascii="David" w:hAnsi="David"/>
          <w:b/>
          <w:bCs/>
          <w:rtl/>
        </w:rPr>
        <w:t>"כלל הנקוט בידי בית המשפט מימים ימימה שמעמידים בעל דין בחזקתו שלא ימנע מבית המשפט ראיה שהיא לטובתו, ואם נמנע מהבאת ראיה רלבנטית שהיא בהישג ידו ואין לו לכך הסבר סביר- ניתן להסיק שאילו הובאה הראיה הייתה פועלת נגדו"</w:t>
      </w:r>
      <w:r w:rsidRPr="00E10C9D">
        <w:rPr>
          <w:rFonts w:ascii="David" w:hAnsi="David"/>
          <w:rtl/>
        </w:rPr>
        <w:t xml:space="preserve"> </w:t>
      </w:r>
      <w:r w:rsidRPr="00E10C9D">
        <w:rPr>
          <w:rFonts w:ascii="David" w:hAnsi="David"/>
          <w:b/>
          <w:bCs/>
          <w:spacing w:val="-4"/>
          <w:rtl/>
        </w:rPr>
        <w:t xml:space="preserve">" </w:t>
      </w:r>
      <w:r w:rsidRPr="00E10C9D">
        <w:rPr>
          <w:rFonts w:ascii="David" w:hAnsi="David"/>
          <w:spacing w:val="-4"/>
          <w:rtl/>
        </w:rPr>
        <w:t xml:space="preserve">( </w:t>
      </w:r>
      <w:hyperlink r:id="rId25" w:history="1">
        <w:r w:rsidRPr="00E10C9D">
          <w:rPr>
            <w:rStyle w:val="Hyperlink"/>
            <w:rFonts w:ascii="David" w:hAnsi="David" w:cs="David"/>
            <w:color w:val="auto"/>
            <w:spacing w:val="-4"/>
            <w:rtl/>
          </w:rPr>
          <w:t xml:space="preserve">ע"א 55/89 </w:t>
        </w:r>
        <w:r w:rsidRPr="00E10C9D">
          <w:rPr>
            <w:rStyle w:val="Hyperlink"/>
            <w:rFonts w:ascii="David" w:hAnsi="David" w:cs="David"/>
            <w:b/>
            <w:bCs/>
            <w:color w:val="auto"/>
            <w:spacing w:val="-4"/>
            <w:rtl/>
          </w:rPr>
          <w:t>קופל (נהיגה עצמית) בע"מ נ' טלקאר חברה בע"מ</w:t>
        </w:r>
        <w:r w:rsidRPr="00E10C9D">
          <w:rPr>
            <w:rStyle w:val="Hyperlink"/>
            <w:rFonts w:ascii="David" w:hAnsi="David" w:cs="David"/>
            <w:color w:val="auto"/>
            <w:spacing w:val="-4"/>
            <w:rtl/>
          </w:rPr>
          <w:t>, פ"ד מד</w:t>
        </w:r>
      </w:hyperlink>
      <w:r w:rsidRPr="00E10C9D">
        <w:rPr>
          <w:rFonts w:ascii="David" w:hAnsi="David"/>
          <w:spacing w:val="-4"/>
          <w:rtl/>
        </w:rPr>
        <w:t>(4) 59 (14/11/1990))</w:t>
      </w:r>
      <w:r w:rsidRPr="00E10C9D">
        <w:rPr>
          <w:rFonts w:ascii="David" w:hAnsi="David"/>
          <w:b/>
          <w:bCs/>
          <w:spacing w:val="-4"/>
          <w:rtl/>
        </w:rPr>
        <w:t>.</w:t>
      </w:r>
    </w:p>
    <w:p w:rsidR="001417C6" w:rsidRPr="00E10C9D" w:rsidRDefault="001417C6" w:rsidP="001417C6">
      <w:pPr>
        <w:spacing w:line="360" w:lineRule="auto"/>
        <w:ind w:left="720" w:hanging="6"/>
        <w:jc w:val="both"/>
        <w:rPr>
          <w:rFonts w:ascii="David" w:hAnsi="David"/>
          <w:rtl/>
        </w:rPr>
      </w:pPr>
    </w:p>
    <w:p w:rsidR="001417C6" w:rsidRPr="00E10C9D" w:rsidRDefault="001417C6" w:rsidP="001417C6">
      <w:pPr>
        <w:spacing w:line="360" w:lineRule="auto"/>
        <w:ind w:left="714" w:hanging="630"/>
        <w:jc w:val="both"/>
        <w:rPr>
          <w:rFonts w:ascii="David" w:hAnsi="David"/>
          <w:rtl/>
        </w:rPr>
      </w:pPr>
      <w:r w:rsidRPr="00E10C9D">
        <w:rPr>
          <w:rFonts w:ascii="David" w:hAnsi="David"/>
          <w:rtl/>
        </w:rPr>
        <w:t>40.</w:t>
      </w:r>
      <w:r w:rsidRPr="00E10C9D">
        <w:rPr>
          <w:rFonts w:ascii="David" w:hAnsi="David"/>
          <w:rtl/>
        </w:rPr>
        <w:tab/>
      </w:r>
      <w:r w:rsidRPr="00E10C9D">
        <w:rPr>
          <w:rFonts w:ascii="David" w:hAnsi="David"/>
          <w:u w:val="single"/>
          <w:rtl/>
        </w:rPr>
        <w:t>בשים לב לאמור לעיל אני דוחה את תביעתה של א. ברכיב זה ומחייב אותה בהוצאות לטובת מ. בסך 10,000 ₪.</w:t>
      </w:r>
    </w:p>
    <w:p w:rsidR="001417C6" w:rsidRPr="00E10C9D" w:rsidRDefault="001417C6" w:rsidP="001417C6">
      <w:pPr>
        <w:spacing w:line="360" w:lineRule="auto"/>
        <w:ind w:left="714" w:hanging="630"/>
        <w:jc w:val="both"/>
        <w:rPr>
          <w:rFonts w:ascii="David" w:hAnsi="David"/>
          <w:rtl/>
        </w:rPr>
      </w:pPr>
    </w:p>
    <w:p w:rsidR="001417C6" w:rsidRPr="00E10C9D" w:rsidRDefault="001417C6" w:rsidP="001417C6">
      <w:pPr>
        <w:pStyle w:val="P22"/>
        <w:tabs>
          <w:tab w:val="clear" w:pos="1474"/>
          <w:tab w:val="clear" w:pos="1928"/>
          <w:tab w:val="clear" w:pos="2381"/>
          <w:tab w:val="clear" w:pos="2835"/>
        </w:tabs>
        <w:spacing w:before="72" w:line="360" w:lineRule="auto"/>
        <w:ind w:left="720" w:right="0" w:hanging="630"/>
        <w:rPr>
          <w:rStyle w:val="default"/>
          <w:rFonts w:ascii="David" w:eastAsiaTheme="majorEastAsia" w:hAnsi="David" w:cs="David"/>
          <w:sz w:val="24"/>
          <w:szCs w:val="24"/>
          <w:rtl/>
        </w:rPr>
      </w:pPr>
      <w:r w:rsidRPr="00E10C9D">
        <w:rPr>
          <w:rStyle w:val="default"/>
          <w:rFonts w:ascii="David" w:eastAsiaTheme="majorEastAsia" w:hAnsi="David" w:cs="David"/>
          <w:sz w:val="24"/>
          <w:szCs w:val="24"/>
          <w:rtl/>
        </w:rPr>
        <w:t>41.</w:t>
      </w:r>
      <w:r w:rsidRPr="00E10C9D">
        <w:rPr>
          <w:rStyle w:val="default"/>
          <w:rFonts w:ascii="David" w:eastAsiaTheme="majorEastAsia" w:hAnsi="David" w:cs="David"/>
          <w:sz w:val="24"/>
          <w:szCs w:val="24"/>
          <w:rtl/>
        </w:rPr>
        <w:tab/>
        <w:t xml:space="preserve">לעומת זאת החָברה התייצבה לעדות בבית המשפט. תצהירה היה בתיק ובעדותה בחקירה הנגדית לא נשאלה שאלות אשר יש בהן לתמוך בטענת מ. ומכך לשלול את דברי החָברה. </w:t>
      </w:r>
    </w:p>
    <w:p w:rsidR="001417C6" w:rsidRPr="00E10C9D" w:rsidRDefault="001417C6" w:rsidP="001417C6">
      <w:pPr>
        <w:pStyle w:val="P22"/>
        <w:tabs>
          <w:tab w:val="left" w:pos="720"/>
        </w:tabs>
        <w:spacing w:before="72" w:line="360" w:lineRule="auto"/>
        <w:ind w:left="714" w:right="0" w:hanging="630"/>
        <w:rPr>
          <w:rStyle w:val="default"/>
          <w:rFonts w:ascii="David" w:eastAsiaTheme="majorEastAsia" w:hAnsi="David" w:cs="David"/>
          <w:sz w:val="24"/>
          <w:szCs w:val="24"/>
          <w:rtl/>
        </w:rPr>
      </w:pPr>
      <w:r w:rsidRPr="00E10C9D">
        <w:rPr>
          <w:rStyle w:val="default"/>
          <w:rFonts w:ascii="David" w:eastAsiaTheme="majorEastAsia" w:hAnsi="David" w:cs="David"/>
          <w:sz w:val="24"/>
          <w:szCs w:val="24"/>
          <w:rtl/>
        </w:rPr>
        <w:tab/>
        <w:t xml:space="preserve">בעדותה בבית המשפט שבה על הדברים שהועלו בתצהירה ומבלי שהיה בידי מ. להזימם. </w:t>
      </w:r>
    </w:p>
    <w:p w:rsidR="001417C6" w:rsidRPr="00E10C9D" w:rsidRDefault="001417C6" w:rsidP="001417C6">
      <w:pPr>
        <w:pStyle w:val="P22"/>
        <w:tabs>
          <w:tab w:val="left" w:pos="720"/>
        </w:tabs>
        <w:spacing w:before="72" w:line="360" w:lineRule="auto"/>
        <w:ind w:left="714" w:right="0" w:hanging="630"/>
        <w:rPr>
          <w:rStyle w:val="default"/>
          <w:rFonts w:ascii="David" w:eastAsiaTheme="majorEastAsia" w:hAnsi="David" w:cs="David"/>
          <w:sz w:val="24"/>
          <w:szCs w:val="24"/>
          <w:rtl/>
        </w:rPr>
      </w:pPr>
      <w:r w:rsidRPr="00E10C9D">
        <w:rPr>
          <w:rStyle w:val="default"/>
          <w:rFonts w:ascii="David" w:eastAsiaTheme="majorEastAsia" w:hAnsi="David" w:cs="David"/>
          <w:sz w:val="24"/>
          <w:szCs w:val="24"/>
          <w:rtl/>
        </w:rPr>
        <w:tab/>
        <w:t>להלן חקירתה של החָברה בנושא זה:</w:t>
      </w:r>
    </w:p>
    <w:p w:rsidR="001417C6" w:rsidRPr="00E10C9D" w:rsidRDefault="001417C6" w:rsidP="001417C6">
      <w:pPr>
        <w:spacing w:line="360" w:lineRule="auto"/>
        <w:ind w:left="397" w:hanging="397"/>
        <w:jc w:val="both"/>
        <w:rPr>
          <w:rFonts w:ascii="David" w:eastAsiaTheme="minorHAnsi" w:hAnsi="David"/>
          <w:b/>
          <w:bCs/>
          <w:rtl/>
        </w:rPr>
      </w:pPr>
      <w:r w:rsidRPr="00E10C9D">
        <w:rPr>
          <w:rStyle w:val="default"/>
          <w:rFonts w:ascii="David" w:eastAsiaTheme="majorEastAsia" w:hAnsi="David" w:cs="David"/>
          <w:rtl/>
        </w:rPr>
        <w:tab/>
      </w:r>
      <w:r w:rsidRPr="00E10C9D">
        <w:rPr>
          <w:rStyle w:val="default"/>
          <w:rFonts w:ascii="David" w:eastAsiaTheme="majorEastAsia" w:hAnsi="David" w:cs="David"/>
          <w:rtl/>
        </w:rPr>
        <w:tab/>
        <w:t>"</w:t>
      </w:r>
      <w:r w:rsidRPr="00E10C9D">
        <w:rPr>
          <w:rFonts w:ascii="David" w:hAnsi="David"/>
          <w:b/>
          <w:bCs/>
          <w:rtl/>
        </w:rPr>
        <w:t>ש.</w:t>
      </w:r>
      <w:r w:rsidRPr="00E10C9D">
        <w:rPr>
          <w:rFonts w:ascii="David" w:hAnsi="David"/>
          <w:b/>
          <w:bCs/>
          <w:rtl/>
        </w:rPr>
        <w:tab/>
        <w:t>את יכולה לפרט על הפגישה שפגשת אותו בקפה איפה?</w:t>
      </w:r>
    </w:p>
    <w:p w:rsidR="001417C6" w:rsidRPr="00E10C9D" w:rsidRDefault="001417C6" w:rsidP="001417C6">
      <w:pPr>
        <w:tabs>
          <w:tab w:val="left" w:pos="-6153"/>
        </w:tabs>
        <w:spacing w:line="360" w:lineRule="auto"/>
        <w:ind w:left="793" w:hanging="567"/>
        <w:jc w:val="both"/>
        <w:rPr>
          <w:rFonts w:ascii="David" w:hAnsi="David"/>
          <w:b/>
          <w:bCs/>
          <w:rtl/>
        </w:rPr>
      </w:pPr>
      <w:r w:rsidRPr="00E10C9D">
        <w:rPr>
          <w:rFonts w:ascii="David" w:hAnsi="David"/>
          <w:b/>
          <w:bCs/>
          <w:rtl/>
        </w:rPr>
        <w:tab/>
        <w:t>ת.</w:t>
      </w:r>
      <w:r w:rsidRPr="00E10C9D">
        <w:rPr>
          <w:rFonts w:ascii="David" w:hAnsi="David"/>
          <w:b/>
          <w:bCs/>
          <w:rtl/>
        </w:rPr>
        <w:tab/>
        <w:t xml:space="preserve">קרמה, אני פשוט באתי לקנות קפה וראיתי שהוא אומר הנה החָברה של גרושתי                  </w:t>
      </w:r>
    </w:p>
    <w:p w:rsidR="001417C6" w:rsidRPr="00E10C9D" w:rsidRDefault="001417C6" w:rsidP="001417C6">
      <w:pPr>
        <w:tabs>
          <w:tab w:val="left" w:pos="-6153"/>
        </w:tabs>
        <w:spacing w:line="360" w:lineRule="auto"/>
        <w:ind w:left="793" w:hanging="567"/>
        <w:jc w:val="both"/>
        <w:rPr>
          <w:rFonts w:ascii="David" w:hAnsi="David"/>
          <w:b/>
          <w:bCs/>
        </w:rPr>
      </w:pPr>
      <w:r w:rsidRPr="00E10C9D">
        <w:rPr>
          <w:rFonts w:ascii="David" w:hAnsi="David"/>
          <w:b/>
          <w:bCs/>
          <w:rtl/>
        </w:rPr>
        <w:t xml:space="preserve">                       הזונה ש... לא רוצה להגיד, מזדיינת עם כל העיר. זה מה ששמעתי. </w:t>
      </w:r>
      <w:r w:rsidRPr="00E10C9D">
        <w:rPr>
          <w:rFonts w:ascii="David" w:hAnsi="David"/>
          <w:rtl/>
        </w:rPr>
        <w:t>...</w:t>
      </w:r>
    </w:p>
    <w:p w:rsidR="001417C6" w:rsidRPr="00E10C9D" w:rsidRDefault="001417C6" w:rsidP="001417C6">
      <w:pPr>
        <w:spacing w:line="360" w:lineRule="auto"/>
        <w:ind w:left="397" w:firstLine="323"/>
        <w:jc w:val="both"/>
        <w:rPr>
          <w:rFonts w:ascii="David" w:hAnsi="David"/>
          <w:b/>
          <w:bCs/>
          <w:rtl/>
        </w:rPr>
      </w:pPr>
      <w:r w:rsidRPr="00E10C9D">
        <w:rPr>
          <w:rFonts w:ascii="David" w:hAnsi="David"/>
          <w:b/>
          <w:bCs/>
          <w:rtl/>
        </w:rPr>
        <w:t>ש.</w:t>
      </w:r>
      <w:r w:rsidRPr="00E10C9D">
        <w:rPr>
          <w:rFonts w:ascii="David" w:hAnsi="David"/>
          <w:b/>
          <w:bCs/>
          <w:rtl/>
        </w:rPr>
        <w:tab/>
        <w:t>המועד של העדות קדם למועד בו פגשת אותו בקפה קרמה?</w:t>
      </w:r>
    </w:p>
    <w:p w:rsidR="001417C6" w:rsidRPr="00E10C9D" w:rsidRDefault="001417C6" w:rsidP="001417C6">
      <w:pPr>
        <w:spacing w:line="360" w:lineRule="auto"/>
        <w:ind w:left="397" w:firstLine="323"/>
        <w:jc w:val="both"/>
        <w:rPr>
          <w:rFonts w:ascii="David" w:hAnsi="David"/>
          <w:b/>
          <w:bCs/>
          <w:rtl/>
        </w:rPr>
      </w:pPr>
      <w:r w:rsidRPr="00E10C9D">
        <w:rPr>
          <w:rFonts w:ascii="David" w:hAnsi="David"/>
          <w:b/>
          <w:bCs/>
          <w:rtl/>
        </w:rPr>
        <w:t>ת.</w:t>
      </w:r>
      <w:r w:rsidRPr="00E10C9D">
        <w:rPr>
          <w:rFonts w:ascii="David" w:hAnsi="David"/>
          <w:b/>
          <w:bCs/>
          <w:rtl/>
        </w:rPr>
        <w:tab/>
        <w:t>לא. זה לא מועד העדות, אני פגשתי אותו ביולי שנה שעברה</w:t>
      </w:r>
      <w:r w:rsidRPr="00E10C9D">
        <w:rPr>
          <w:rFonts w:ascii="David" w:hAnsi="David"/>
          <w:rtl/>
        </w:rPr>
        <w:t>...</w:t>
      </w:r>
    </w:p>
    <w:p w:rsidR="001417C6" w:rsidRPr="00E10C9D" w:rsidRDefault="001417C6" w:rsidP="001417C6">
      <w:pPr>
        <w:spacing w:line="360" w:lineRule="auto"/>
        <w:ind w:left="397" w:firstLine="323"/>
        <w:jc w:val="both"/>
        <w:rPr>
          <w:rFonts w:ascii="David" w:hAnsi="David"/>
          <w:b/>
          <w:bCs/>
          <w:rtl/>
        </w:rPr>
      </w:pPr>
      <w:r w:rsidRPr="00E10C9D">
        <w:rPr>
          <w:rFonts w:ascii="David" w:hAnsi="David"/>
          <w:b/>
          <w:bCs/>
          <w:rtl/>
        </w:rPr>
        <w:t>ש</w:t>
      </w:r>
      <w:r w:rsidRPr="00E10C9D">
        <w:rPr>
          <w:rFonts w:ascii="David" w:hAnsi="David"/>
          <w:b/>
          <w:bCs/>
          <w:rtl/>
        </w:rPr>
        <w:tab/>
        <w:t>מתי סיפרת לא. שמ. אמר את הדברים האלה?</w:t>
      </w:r>
    </w:p>
    <w:p w:rsidR="001417C6" w:rsidRPr="00E10C9D" w:rsidRDefault="001417C6" w:rsidP="001417C6">
      <w:pPr>
        <w:tabs>
          <w:tab w:val="left" w:pos="-2467"/>
        </w:tabs>
        <w:spacing w:line="360" w:lineRule="auto"/>
        <w:ind w:left="397" w:hanging="397"/>
        <w:jc w:val="both"/>
        <w:rPr>
          <w:rFonts w:ascii="David" w:hAnsi="David"/>
          <w:b/>
          <w:bCs/>
        </w:rPr>
      </w:pPr>
      <w:r w:rsidRPr="00E10C9D">
        <w:rPr>
          <w:rFonts w:ascii="David" w:hAnsi="David"/>
          <w:b/>
          <w:bCs/>
          <w:rtl/>
        </w:rPr>
        <w:tab/>
      </w:r>
      <w:r w:rsidRPr="00E10C9D">
        <w:rPr>
          <w:rFonts w:ascii="David" w:hAnsi="David"/>
          <w:b/>
          <w:bCs/>
          <w:rtl/>
        </w:rPr>
        <w:tab/>
        <w:t>ת.</w:t>
      </w:r>
      <w:r w:rsidRPr="00E10C9D">
        <w:rPr>
          <w:rFonts w:ascii="David" w:hAnsi="David"/>
          <w:b/>
          <w:bCs/>
          <w:rtl/>
        </w:rPr>
        <w:tab/>
        <w:t xml:space="preserve">באותו יום. </w:t>
      </w:r>
    </w:p>
    <w:p w:rsidR="001417C6" w:rsidRPr="00E10C9D" w:rsidRDefault="001417C6" w:rsidP="001417C6">
      <w:pPr>
        <w:tabs>
          <w:tab w:val="left" w:pos="397"/>
        </w:tabs>
        <w:spacing w:line="360" w:lineRule="auto"/>
        <w:ind w:left="397" w:hanging="397"/>
        <w:jc w:val="both"/>
        <w:rPr>
          <w:rFonts w:ascii="David" w:hAnsi="David"/>
          <w:b/>
          <w:bCs/>
          <w:rtl/>
        </w:rPr>
      </w:pPr>
      <w:r w:rsidRPr="00E10C9D">
        <w:rPr>
          <w:rFonts w:ascii="David" w:hAnsi="David"/>
          <w:b/>
          <w:bCs/>
          <w:rtl/>
        </w:rPr>
        <w:tab/>
      </w:r>
      <w:r w:rsidRPr="00E10C9D">
        <w:rPr>
          <w:rFonts w:ascii="David" w:hAnsi="David"/>
          <w:b/>
          <w:bCs/>
          <w:rtl/>
        </w:rPr>
        <w:tab/>
        <w:t>ש.</w:t>
      </w:r>
      <w:r w:rsidRPr="00E10C9D">
        <w:rPr>
          <w:rFonts w:ascii="David" w:hAnsi="David"/>
          <w:b/>
          <w:bCs/>
          <w:rtl/>
        </w:rPr>
        <w:tab/>
        <w:t>ומה היא אמרה לך?</w:t>
      </w:r>
    </w:p>
    <w:p w:rsidR="001417C6" w:rsidRPr="00E10C9D" w:rsidRDefault="001417C6" w:rsidP="001417C6">
      <w:pPr>
        <w:spacing w:line="360" w:lineRule="auto"/>
        <w:ind w:left="1440" w:hanging="720"/>
        <w:jc w:val="both"/>
        <w:rPr>
          <w:rFonts w:ascii="David" w:hAnsi="David"/>
          <w:b/>
          <w:bCs/>
          <w:rtl/>
        </w:rPr>
      </w:pPr>
      <w:r w:rsidRPr="00E10C9D">
        <w:rPr>
          <w:rFonts w:ascii="David" w:hAnsi="David"/>
          <w:b/>
          <w:bCs/>
          <w:rtl/>
        </w:rPr>
        <w:t>ת.</w:t>
      </w:r>
      <w:r w:rsidRPr="00E10C9D">
        <w:rPr>
          <w:rFonts w:ascii="David" w:hAnsi="David"/>
          <w:b/>
          <w:bCs/>
          <w:rtl/>
        </w:rPr>
        <w:tab/>
        <w:t xml:space="preserve">איך היא יכולה להגיב? היא אמרה שהיא יודעת שאלה השמועות בכל העיר, זה הכל. לא רק אני שמעתי את זה, שמעו עוד הרבה אנשים. </w:t>
      </w:r>
    </w:p>
    <w:p w:rsidR="001417C6" w:rsidRPr="00E10C9D" w:rsidRDefault="001417C6" w:rsidP="001417C6">
      <w:pPr>
        <w:tabs>
          <w:tab w:val="left" w:pos="-3176"/>
        </w:tabs>
        <w:spacing w:line="360" w:lineRule="auto"/>
        <w:ind w:left="397" w:hanging="397"/>
        <w:jc w:val="both"/>
        <w:rPr>
          <w:rFonts w:ascii="David" w:hAnsi="David"/>
          <w:b/>
          <w:bCs/>
          <w:rtl/>
        </w:rPr>
      </w:pPr>
      <w:r w:rsidRPr="00E10C9D">
        <w:rPr>
          <w:rFonts w:ascii="David" w:hAnsi="David"/>
          <w:b/>
          <w:bCs/>
          <w:rtl/>
        </w:rPr>
        <w:tab/>
      </w:r>
      <w:r w:rsidRPr="00E10C9D">
        <w:rPr>
          <w:rFonts w:ascii="David" w:hAnsi="David"/>
          <w:b/>
          <w:bCs/>
          <w:rtl/>
        </w:rPr>
        <w:tab/>
        <w:t>ש.</w:t>
      </w:r>
      <w:r w:rsidRPr="00E10C9D">
        <w:rPr>
          <w:rFonts w:ascii="David" w:hAnsi="David"/>
          <w:b/>
          <w:bCs/>
          <w:rtl/>
        </w:rPr>
        <w:tab/>
        <w:t xml:space="preserve">לא שמ. אמר את הדברים, אלא שאלה השמועות בכל העיר. </w:t>
      </w:r>
    </w:p>
    <w:p w:rsidR="001417C6" w:rsidRPr="00E10C9D" w:rsidRDefault="001417C6" w:rsidP="001417C6">
      <w:pPr>
        <w:tabs>
          <w:tab w:val="left" w:pos="-2184"/>
        </w:tabs>
        <w:spacing w:line="360" w:lineRule="auto"/>
        <w:ind w:left="397" w:hanging="397"/>
        <w:jc w:val="both"/>
        <w:rPr>
          <w:rFonts w:ascii="David" w:hAnsi="David"/>
          <w:b/>
          <w:bCs/>
          <w:rtl/>
        </w:rPr>
      </w:pPr>
      <w:r w:rsidRPr="00E10C9D">
        <w:rPr>
          <w:rFonts w:ascii="David" w:hAnsi="David"/>
          <w:b/>
          <w:bCs/>
          <w:rtl/>
        </w:rPr>
        <w:tab/>
      </w:r>
      <w:r w:rsidRPr="00E10C9D">
        <w:rPr>
          <w:rFonts w:ascii="David" w:hAnsi="David"/>
          <w:b/>
          <w:bCs/>
          <w:rtl/>
        </w:rPr>
        <w:tab/>
        <w:t>ת.</w:t>
      </w:r>
      <w:r w:rsidRPr="00E10C9D">
        <w:rPr>
          <w:rFonts w:ascii="David" w:hAnsi="David"/>
          <w:b/>
          <w:bCs/>
          <w:rtl/>
        </w:rPr>
        <w:tab/>
        <w:t xml:space="preserve">אני שמעתי שמ. אמר את זה. אני שמעתי באוזניים שלי. </w:t>
      </w:r>
    </w:p>
    <w:p w:rsidR="001417C6" w:rsidRPr="00E10C9D" w:rsidRDefault="001417C6" w:rsidP="001417C6">
      <w:pPr>
        <w:spacing w:line="360" w:lineRule="auto"/>
        <w:ind w:left="397" w:firstLine="323"/>
        <w:jc w:val="both"/>
        <w:rPr>
          <w:rFonts w:ascii="David" w:hAnsi="David"/>
          <w:b/>
          <w:bCs/>
          <w:rtl/>
        </w:rPr>
      </w:pPr>
      <w:r w:rsidRPr="00E10C9D">
        <w:rPr>
          <w:rFonts w:ascii="David" w:hAnsi="David"/>
          <w:b/>
          <w:bCs/>
          <w:rtl/>
        </w:rPr>
        <w:t>ש.</w:t>
      </w:r>
      <w:r w:rsidRPr="00E10C9D">
        <w:rPr>
          <w:rFonts w:ascii="David" w:hAnsi="David"/>
          <w:b/>
          <w:bCs/>
          <w:rtl/>
        </w:rPr>
        <w:tab/>
        <w:t xml:space="preserve">אבל את אומרת שזו שמועה בכל העיר. </w:t>
      </w:r>
    </w:p>
    <w:p w:rsidR="001417C6" w:rsidRPr="00E10C9D" w:rsidRDefault="001417C6" w:rsidP="001417C6">
      <w:pPr>
        <w:spacing w:line="360" w:lineRule="auto"/>
        <w:ind w:left="397" w:firstLine="323"/>
        <w:jc w:val="both"/>
        <w:rPr>
          <w:rFonts w:ascii="David" w:hAnsi="David"/>
          <w:b/>
          <w:bCs/>
          <w:rtl/>
        </w:rPr>
      </w:pPr>
      <w:r w:rsidRPr="00E10C9D">
        <w:rPr>
          <w:rFonts w:ascii="David" w:hAnsi="David"/>
          <w:b/>
          <w:bCs/>
          <w:rtl/>
        </w:rPr>
        <w:t>ת.</w:t>
      </w:r>
      <w:r w:rsidRPr="00E10C9D">
        <w:rPr>
          <w:rFonts w:ascii="David" w:hAnsi="David"/>
          <w:b/>
          <w:bCs/>
          <w:rtl/>
        </w:rPr>
        <w:tab/>
        <w:t xml:space="preserve">כן אבל זה הוא אמר. </w:t>
      </w:r>
    </w:p>
    <w:p w:rsidR="001417C6" w:rsidRPr="00E10C9D" w:rsidRDefault="001417C6" w:rsidP="001417C6">
      <w:pPr>
        <w:spacing w:line="360" w:lineRule="auto"/>
        <w:ind w:left="397" w:firstLine="323"/>
        <w:jc w:val="both"/>
        <w:rPr>
          <w:rFonts w:ascii="David" w:hAnsi="David"/>
          <w:b/>
          <w:bCs/>
          <w:rtl/>
        </w:rPr>
      </w:pPr>
      <w:r w:rsidRPr="00E10C9D">
        <w:rPr>
          <w:rFonts w:ascii="David" w:hAnsi="David"/>
          <w:b/>
          <w:bCs/>
          <w:rtl/>
        </w:rPr>
        <w:t>ש.</w:t>
      </w:r>
      <w:r w:rsidRPr="00E10C9D">
        <w:rPr>
          <w:rFonts w:ascii="David" w:hAnsi="David"/>
          <w:b/>
          <w:bCs/>
          <w:rtl/>
        </w:rPr>
        <w:tab/>
        <w:t>את יודעת שהוא אמר בכל העיר?</w:t>
      </w:r>
    </w:p>
    <w:p w:rsidR="001417C6" w:rsidRPr="00E10C9D" w:rsidRDefault="001417C6" w:rsidP="001417C6">
      <w:pPr>
        <w:spacing w:line="360" w:lineRule="auto"/>
        <w:ind w:left="397" w:firstLine="323"/>
        <w:jc w:val="both"/>
        <w:rPr>
          <w:rFonts w:ascii="David" w:hAnsi="David"/>
          <w:b/>
          <w:bCs/>
          <w:rtl/>
        </w:rPr>
      </w:pPr>
      <w:r w:rsidRPr="00E10C9D">
        <w:rPr>
          <w:rFonts w:ascii="David" w:hAnsi="David"/>
          <w:b/>
          <w:bCs/>
          <w:rtl/>
        </w:rPr>
        <w:t>ת.</w:t>
      </w:r>
      <w:r w:rsidRPr="00E10C9D">
        <w:rPr>
          <w:rFonts w:ascii="David" w:hAnsi="David"/>
          <w:b/>
          <w:bCs/>
          <w:rtl/>
        </w:rPr>
        <w:tab/>
        <w:t xml:space="preserve">אני שמעתי מה שהוא אמר. אני שמעתי את זה מכמה אנשים, זה נכון. </w:t>
      </w:r>
    </w:p>
    <w:p w:rsidR="001417C6" w:rsidRPr="00E10C9D" w:rsidRDefault="001417C6" w:rsidP="001417C6">
      <w:pPr>
        <w:spacing w:line="360" w:lineRule="auto"/>
        <w:ind w:left="397" w:firstLine="323"/>
        <w:jc w:val="both"/>
        <w:rPr>
          <w:rFonts w:ascii="David" w:hAnsi="David"/>
          <w:b/>
          <w:bCs/>
          <w:rtl/>
        </w:rPr>
      </w:pPr>
      <w:r w:rsidRPr="00E10C9D">
        <w:rPr>
          <w:rFonts w:ascii="David" w:hAnsi="David"/>
          <w:b/>
          <w:bCs/>
          <w:rtl/>
        </w:rPr>
        <w:t>ש.</w:t>
      </w:r>
      <w:r w:rsidRPr="00E10C9D">
        <w:rPr>
          <w:rFonts w:ascii="David" w:hAnsi="David"/>
          <w:b/>
          <w:bCs/>
          <w:rtl/>
        </w:rPr>
        <w:tab/>
        <w:t>למה לא אמרת את זה בתצהירך?</w:t>
      </w:r>
    </w:p>
    <w:p w:rsidR="001417C6" w:rsidRPr="00E10C9D" w:rsidRDefault="001417C6" w:rsidP="001417C6">
      <w:pPr>
        <w:spacing w:line="360" w:lineRule="auto"/>
        <w:ind w:left="397" w:hanging="397"/>
        <w:jc w:val="both"/>
        <w:rPr>
          <w:rFonts w:ascii="David" w:hAnsi="David"/>
          <w:b/>
          <w:bCs/>
          <w:rtl/>
        </w:rPr>
      </w:pPr>
      <w:r w:rsidRPr="00E10C9D">
        <w:rPr>
          <w:rFonts w:ascii="David" w:hAnsi="David"/>
          <w:b/>
          <w:bCs/>
          <w:rtl/>
        </w:rPr>
        <w:tab/>
      </w:r>
      <w:r w:rsidRPr="00E10C9D">
        <w:rPr>
          <w:rFonts w:ascii="David" w:hAnsi="David"/>
          <w:b/>
          <w:bCs/>
          <w:rtl/>
        </w:rPr>
        <w:tab/>
        <w:t>ת.</w:t>
      </w:r>
      <w:r w:rsidRPr="00E10C9D">
        <w:rPr>
          <w:rFonts w:ascii="David" w:hAnsi="David"/>
          <w:b/>
          <w:bCs/>
          <w:rtl/>
        </w:rPr>
        <w:tab/>
        <w:t xml:space="preserve">למה שאני אגיד? אני יכולה להגיד מה שאני יודעת. </w:t>
      </w:r>
    </w:p>
    <w:p w:rsidR="001417C6" w:rsidRPr="00E10C9D" w:rsidRDefault="001417C6" w:rsidP="001417C6">
      <w:pPr>
        <w:tabs>
          <w:tab w:val="left" w:pos="-4877"/>
        </w:tabs>
        <w:spacing w:line="360" w:lineRule="auto"/>
        <w:ind w:left="397" w:hanging="397"/>
        <w:jc w:val="both"/>
        <w:rPr>
          <w:rFonts w:ascii="David" w:hAnsi="David"/>
          <w:b/>
          <w:bCs/>
          <w:rtl/>
        </w:rPr>
      </w:pPr>
      <w:r w:rsidRPr="00E10C9D">
        <w:rPr>
          <w:rFonts w:ascii="David" w:hAnsi="David"/>
          <w:b/>
          <w:bCs/>
          <w:rtl/>
        </w:rPr>
        <w:tab/>
      </w:r>
      <w:r w:rsidRPr="00E10C9D">
        <w:rPr>
          <w:rFonts w:ascii="David" w:hAnsi="David"/>
          <w:b/>
          <w:bCs/>
          <w:rtl/>
        </w:rPr>
        <w:tab/>
        <w:t>ש.</w:t>
      </w:r>
      <w:r w:rsidRPr="00E10C9D">
        <w:rPr>
          <w:rFonts w:ascii="David" w:hAnsi="David"/>
          <w:b/>
          <w:bCs/>
          <w:rtl/>
        </w:rPr>
        <w:tab/>
        <w:t>זאת אומרת שאת לא יודעת שהוא אמר את זה מעוד אנשים?</w:t>
      </w:r>
    </w:p>
    <w:p w:rsidR="001417C6" w:rsidRPr="00E10C9D" w:rsidRDefault="001417C6" w:rsidP="001417C6">
      <w:pPr>
        <w:tabs>
          <w:tab w:val="left" w:pos="-341"/>
        </w:tabs>
        <w:spacing w:line="360" w:lineRule="auto"/>
        <w:ind w:left="397" w:hanging="397"/>
        <w:jc w:val="both"/>
        <w:rPr>
          <w:rFonts w:ascii="David" w:hAnsi="David"/>
          <w:rtl/>
        </w:rPr>
      </w:pPr>
      <w:r w:rsidRPr="00E10C9D">
        <w:rPr>
          <w:rFonts w:ascii="David" w:hAnsi="David"/>
          <w:b/>
          <w:bCs/>
          <w:rtl/>
        </w:rPr>
        <w:tab/>
      </w:r>
      <w:r w:rsidRPr="00E10C9D">
        <w:rPr>
          <w:rFonts w:ascii="David" w:hAnsi="David"/>
          <w:b/>
          <w:bCs/>
          <w:rtl/>
        </w:rPr>
        <w:tab/>
        <w:t>ת.</w:t>
      </w:r>
      <w:r w:rsidRPr="00E10C9D">
        <w:rPr>
          <w:rFonts w:ascii="David" w:hAnsi="David"/>
          <w:b/>
          <w:bCs/>
          <w:rtl/>
        </w:rPr>
        <w:tab/>
        <w:t xml:space="preserve">לא. </w:t>
      </w:r>
    </w:p>
    <w:p w:rsidR="001417C6" w:rsidRPr="00E10C9D" w:rsidRDefault="001417C6" w:rsidP="001417C6">
      <w:pPr>
        <w:tabs>
          <w:tab w:val="left" w:pos="397"/>
        </w:tabs>
        <w:spacing w:line="360" w:lineRule="auto"/>
        <w:ind w:left="397" w:hanging="397"/>
        <w:jc w:val="both"/>
        <w:rPr>
          <w:rFonts w:ascii="David" w:hAnsi="David"/>
          <w:b/>
          <w:bCs/>
          <w:u w:val="single"/>
          <w:rtl/>
        </w:rPr>
      </w:pPr>
      <w:r w:rsidRPr="00E10C9D">
        <w:rPr>
          <w:rFonts w:ascii="David" w:hAnsi="David"/>
          <w:rtl/>
        </w:rPr>
        <w:tab/>
      </w:r>
      <w:r w:rsidRPr="00E10C9D">
        <w:rPr>
          <w:rFonts w:ascii="David" w:hAnsi="David"/>
          <w:rtl/>
        </w:rPr>
        <w:tab/>
      </w:r>
      <w:r w:rsidRPr="00E10C9D">
        <w:rPr>
          <w:rFonts w:ascii="David" w:hAnsi="David"/>
          <w:b/>
          <w:bCs/>
          <w:u w:val="single"/>
          <w:rtl/>
        </w:rPr>
        <w:t>חקירה חוזרת:</w:t>
      </w:r>
    </w:p>
    <w:p w:rsidR="001417C6" w:rsidRPr="00E10C9D" w:rsidRDefault="001417C6" w:rsidP="001417C6">
      <w:pPr>
        <w:tabs>
          <w:tab w:val="left" w:pos="-2751"/>
        </w:tabs>
        <w:spacing w:line="360" w:lineRule="auto"/>
        <w:ind w:left="720" w:hanging="720"/>
        <w:jc w:val="both"/>
        <w:rPr>
          <w:rFonts w:ascii="David" w:hAnsi="David"/>
          <w:b/>
          <w:bCs/>
          <w:rtl/>
        </w:rPr>
      </w:pPr>
      <w:r w:rsidRPr="00E10C9D">
        <w:rPr>
          <w:rFonts w:ascii="David" w:hAnsi="David"/>
          <w:b/>
          <w:bCs/>
          <w:rtl/>
        </w:rPr>
        <w:tab/>
        <w:t>ש.</w:t>
      </w:r>
      <w:r w:rsidRPr="00E10C9D">
        <w:rPr>
          <w:rFonts w:ascii="David" w:hAnsi="David"/>
          <w:b/>
          <w:bCs/>
          <w:rtl/>
        </w:rPr>
        <w:tab/>
        <w:t xml:space="preserve">סיפרת לגבי בית הקפה, כשהגעת לבית הקפה ושמעת את מ. אומר את זה </w:t>
      </w:r>
    </w:p>
    <w:p w:rsidR="001417C6" w:rsidRPr="00E10C9D" w:rsidRDefault="001417C6" w:rsidP="001417C6">
      <w:pPr>
        <w:tabs>
          <w:tab w:val="left" w:pos="-2751"/>
        </w:tabs>
        <w:spacing w:line="360" w:lineRule="auto"/>
        <w:ind w:left="720" w:hanging="720"/>
        <w:jc w:val="both"/>
        <w:rPr>
          <w:rFonts w:ascii="David" w:hAnsi="David"/>
          <w:b/>
          <w:bCs/>
          <w:rtl/>
        </w:rPr>
      </w:pPr>
      <w:r w:rsidRPr="00E10C9D">
        <w:rPr>
          <w:rFonts w:ascii="David" w:hAnsi="David"/>
          <w:b/>
          <w:bCs/>
          <w:rtl/>
        </w:rPr>
        <w:tab/>
      </w:r>
      <w:r w:rsidRPr="00E10C9D">
        <w:rPr>
          <w:rFonts w:ascii="David" w:hAnsi="David"/>
          <w:b/>
          <w:bCs/>
          <w:rtl/>
        </w:rPr>
        <w:tab/>
        <w:t>לעצמו, האם היו שם עוד אנשים ששמעו את זה?</w:t>
      </w:r>
    </w:p>
    <w:p w:rsidR="001417C6" w:rsidRPr="00E10C9D" w:rsidRDefault="001417C6" w:rsidP="001417C6">
      <w:pPr>
        <w:tabs>
          <w:tab w:val="left" w:pos="-4594"/>
        </w:tabs>
        <w:spacing w:line="360" w:lineRule="auto"/>
        <w:ind w:left="397" w:hanging="397"/>
        <w:jc w:val="both"/>
        <w:rPr>
          <w:rFonts w:ascii="David" w:hAnsi="David"/>
          <w:b/>
          <w:bCs/>
          <w:rtl/>
        </w:rPr>
      </w:pPr>
      <w:r w:rsidRPr="00E10C9D">
        <w:rPr>
          <w:rFonts w:ascii="David" w:hAnsi="David"/>
          <w:b/>
          <w:bCs/>
          <w:rtl/>
        </w:rPr>
        <w:tab/>
      </w:r>
      <w:r w:rsidRPr="00E10C9D">
        <w:rPr>
          <w:rFonts w:ascii="David" w:hAnsi="David"/>
          <w:b/>
          <w:bCs/>
          <w:rtl/>
        </w:rPr>
        <w:tab/>
        <w:t>ת.</w:t>
      </w:r>
      <w:r w:rsidRPr="00E10C9D">
        <w:rPr>
          <w:rFonts w:ascii="David" w:hAnsi="David"/>
          <w:b/>
          <w:bCs/>
          <w:rtl/>
        </w:rPr>
        <w:tab/>
        <w:t xml:space="preserve">היו שם עוד אנשים, לא שמתי לב בדיוק וזה לא עניין אותי. " </w:t>
      </w:r>
      <w:r w:rsidRPr="00E10C9D">
        <w:rPr>
          <w:rFonts w:ascii="David" w:hAnsi="David"/>
          <w:rtl/>
        </w:rPr>
        <w:t>(פרוטוקול עמ' 16)</w:t>
      </w:r>
    </w:p>
    <w:p w:rsidR="001417C6" w:rsidRPr="00E10C9D" w:rsidRDefault="001417C6" w:rsidP="001417C6">
      <w:pPr>
        <w:pStyle w:val="P22"/>
        <w:tabs>
          <w:tab w:val="left" w:pos="720"/>
        </w:tabs>
        <w:spacing w:before="72" w:line="360" w:lineRule="auto"/>
        <w:ind w:left="714" w:right="0" w:hanging="630"/>
        <w:rPr>
          <w:rStyle w:val="default"/>
          <w:rFonts w:ascii="David" w:eastAsiaTheme="majorEastAsia" w:hAnsi="David" w:cs="David"/>
          <w:sz w:val="24"/>
          <w:szCs w:val="24"/>
          <w:rtl/>
        </w:rPr>
      </w:pPr>
      <w:r w:rsidRPr="00E10C9D">
        <w:rPr>
          <w:rStyle w:val="default"/>
          <w:rFonts w:ascii="David" w:eastAsiaTheme="majorEastAsia" w:hAnsi="David" w:cs="David"/>
          <w:sz w:val="24"/>
          <w:szCs w:val="24"/>
          <w:rtl/>
        </w:rPr>
        <w:tab/>
      </w:r>
    </w:p>
    <w:p w:rsidR="001417C6" w:rsidRPr="00E10C9D" w:rsidRDefault="001417C6" w:rsidP="001417C6">
      <w:pPr>
        <w:pStyle w:val="P22"/>
        <w:tabs>
          <w:tab w:val="clear" w:pos="1474"/>
          <w:tab w:val="clear" w:pos="1928"/>
          <w:tab w:val="clear" w:pos="2381"/>
          <w:tab w:val="clear" w:pos="2835"/>
          <w:tab w:val="left" w:pos="-6153"/>
          <w:tab w:val="left" w:pos="-1192"/>
        </w:tabs>
        <w:spacing w:before="72" w:line="360" w:lineRule="auto"/>
        <w:ind w:left="714" w:right="0" w:hanging="630"/>
        <w:rPr>
          <w:rStyle w:val="default"/>
          <w:rFonts w:ascii="David" w:eastAsiaTheme="majorEastAsia" w:hAnsi="David" w:cs="David"/>
          <w:sz w:val="24"/>
          <w:szCs w:val="24"/>
          <w:rtl/>
        </w:rPr>
      </w:pPr>
      <w:r w:rsidRPr="00E10C9D">
        <w:rPr>
          <w:rStyle w:val="default"/>
          <w:rFonts w:ascii="David" w:eastAsiaTheme="majorEastAsia" w:hAnsi="David" w:cs="David"/>
          <w:sz w:val="24"/>
          <w:szCs w:val="24"/>
          <w:rtl/>
        </w:rPr>
        <w:t>42.</w:t>
      </w:r>
      <w:r w:rsidRPr="00E10C9D">
        <w:rPr>
          <w:rStyle w:val="default"/>
          <w:rFonts w:ascii="David" w:eastAsiaTheme="majorEastAsia" w:hAnsi="David" w:cs="David"/>
          <w:sz w:val="24"/>
          <w:szCs w:val="24"/>
          <w:rtl/>
        </w:rPr>
        <w:tab/>
        <w:t>משכך, משעה שדבריה לא הוזמו אני מקבל את תצהירה ועדותה אמינה בעיני. הקביעה שדברים אלו נאמרו מתיישבת עם גישתו הכללית של מ. כלפי גרושתו. ראו למשל דברים שעשה על מנת להתחקות  אחר צעדיה ויחסו אליה. בחקירתו הנגדית נשאל והשיב מ.:</w:t>
      </w:r>
    </w:p>
    <w:p w:rsidR="001417C6" w:rsidRPr="00E10C9D" w:rsidRDefault="001417C6" w:rsidP="001417C6">
      <w:pPr>
        <w:pStyle w:val="P22"/>
        <w:tabs>
          <w:tab w:val="left" w:pos="720"/>
        </w:tabs>
        <w:spacing w:before="72" w:line="360" w:lineRule="auto"/>
        <w:ind w:left="714" w:right="0" w:hanging="630"/>
        <w:rPr>
          <w:rStyle w:val="default"/>
          <w:rFonts w:ascii="David" w:eastAsiaTheme="majorEastAsia" w:hAnsi="David" w:cs="David"/>
          <w:sz w:val="24"/>
          <w:szCs w:val="24"/>
          <w:rtl/>
        </w:rPr>
      </w:pPr>
    </w:p>
    <w:p w:rsidR="001417C6" w:rsidRPr="00E10C9D" w:rsidRDefault="001417C6" w:rsidP="001417C6">
      <w:pPr>
        <w:spacing w:line="360" w:lineRule="auto"/>
        <w:ind w:left="1440" w:hanging="726"/>
        <w:jc w:val="both"/>
        <w:rPr>
          <w:rFonts w:ascii="David" w:eastAsiaTheme="minorHAnsi" w:hAnsi="David"/>
          <w:b/>
          <w:bCs/>
          <w:rtl/>
        </w:rPr>
      </w:pPr>
      <w:r w:rsidRPr="00E10C9D">
        <w:rPr>
          <w:rFonts w:ascii="David" w:hAnsi="David"/>
          <w:b/>
          <w:bCs/>
          <w:rtl/>
        </w:rPr>
        <w:lastRenderedPageBreak/>
        <w:t>ש.</w:t>
      </w:r>
      <w:r w:rsidRPr="00E10C9D">
        <w:rPr>
          <w:rFonts w:ascii="David" w:hAnsi="David"/>
          <w:b/>
          <w:bCs/>
          <w:rtl/>
        </w:rPr>
        <w:tab/>
        <w:t>אני אמשיך לתביעה שלך כלפי מרשתי בתביעה השניה, 1887-03-21. לאורך כל הדרך אתה אובססיבי כלפי מרשתי?</w:t>
      </w:r>
    </w:p>
    <w:p w:rsidR="001417C6" w:rsidRPr="00E10C9D" w:rsidRDefault="001417C6" w:rsidP="001417C6">
      <w:pPr>
        <w:tabs>
          <w:tab w:val="left" w:pos="-1333"/>
        </w:tabs>
        <w:spacing w:line="360" w:lineRule="auto"/>
        <w:ind w:left="793" w:hanging="793"/>
        <w:jc w:val="both"/>
        <w:rPr>
          <w:rFonts w:ascii="David" w:hAnsi="David"/>
          <w:b/>
          <w:bCs/>
          <w:rtl/>
        </w:rPr>
      </w:pPr>
      <w:r w:rsidRPr="00E10C9D">
        <w:rPr>
          <w:rFonts w:ascii="David" w:hAnsi="David"/>
          <w:b/>
          <w:bCs/>
          <w:rtl/>
        </w:rPr>
        <w:tab/>
        <w:t>ת.</w:t>
      </w:r>
      <w:r w:rsidRPr="00E10C9D">
        <w:rPr>
          <w:rFonts w:ascii="David" w:hAnsi="David"/>
          <w:b/>
          <w:bCs/>
          <w:rtl/>
        </w:rPr>
        <w:tab/>
        <w:t xml:space="preserve">ממש לא. </w:t>
      </w:r>
    </w:p>
    <w:p w:rsidR="001417C6" w:rsidRPr="00E10C9D" w:rsidRDefault="001417C6" w:rsidP="001417C6">
      <w:pPr>
        <w:tabs>
          <w:tab w:val="left" w:pos="-1759"/>
        </w:tabs>
        <w:spacing w:line="360" w:lineRule="auto"/>
        <w:ind w:left="794" w:hanging="397"/>
        <w:jc w:val="both"/>
        <w:rPr>
          <w:rFonts w:ascii="David" w:hAnsi="David"/>
          <w:b/>
          <w:bCs/>
        </w:rPr>
      </w:pPr>
      <w:r w:rsidRPr="00E10C9D">
        <w:rPr>
          <w:rFonts w:ascii="David" w:hAnsi="David"/>
          <w:b/>
          <w:bCs/>
          <w:rtl/>
        </w:rPr>
        <w:tab/>
        <w:t>ש.</w:t>
      </w:r>
      <w:r w:rsidRPr="00E10C9D">
        <w:rPr>
          <w:rFonts w:ascii="David" w:hAnsi="David"/>
          <w:b/>
          <w:bCs/>
          <w:rtl/>
        </w:rPr>
        <w:tab/>
        <w:t>אז מדוע אמרת לשוטר ששמת לה מעקב של א. מירושלים?</w:t>
      </w:r>
    </w:p>
    <w:p w:rsidR="001417C6" w:rsidRPr="00E10C9D" w:rsidRDefault="001417C6" w:rsidP="001417C6">
      <w:pPr>
        <w:spacing w:line="360" w:lineRule="auto"/>
        <w:ind w:left="1440" w:hanging="646"/>
        <w:jc w:val="both"/>
        <w:rPr>
          <w:rFonts w:ascii="David" w:hAnsi="David"/>
          <w:b/>
          <w:bCs/>
          <w:rtl/>
        </w:rPr>
      </w:pPr>
      <w:r w:rsidRPr="00E10C9D">
        <w:rPr>
          <w:rFonts w:ascii="David" w:hAnsi="David"/>
          <w:b/>
          <w:bCs/>
          <w:rtl/>
        </w:rPr>
        <w:t>ת.</w:t>
      </w:r>
      <w:r w:rsidRPr="00E10C9D">
        <w:rPr>
          <w:rFonts w:ascii="David" w:hAnsi="David"/>
          <w:b/>
          <w:bCs/>
          <w:rtl/>
        </w:rPr>
        <w:tab/>
        <w:t xml:space="preserve">ביום שגידליתי </w:t>
      </w:r>
      <w:r w:rsidRPr="00E10C9D">
        <w:rPr>
          <w:rFonts w:ascii="David" w:hAnsi="David"/>
          <w:rtl/>
        </w:rPr>
        <w:t xml:space="preserve">(כך במקור) </w:t>
      </w:r>
      <w:r w:rsidRPr="00E10C9D">
        <w:rPr>
          <w:rFonts w:ascii="David" w:hAnsi="David"/>
          <w:b/>
          <w:bCs/>
          <w:rtl/>
        </w:rPr>
        <w:t xml:space="preserve"> שהיא בוגדת בי עם בן זוגה כיום, הצבתי עליה חוקר פרטי. באותו יום שקרה מה שקרה היא חזרה מירושלים, השוטר ערבב בין המעקב שאכן היה מעקב של חוקר פרטי...</w:t>
      </w:r>
    </w:p>
    <w:p w:rsidR="001417C6" w:rsidRPr="00E10C9D" w:rsidRDefault="001417C6" w:rsidP="001417C6">
      <w:pPr>
        <w:spacing w:line="360" w:lineRule="auto"/>
        <w:ind w:left="794"/>
        <w:jc w:val="both"/>
        <w:rPr>
          <w:rFonts w:ascii="David" w:hAnsi="David"/>
          <w:b/>
          <w:bCs/>
          <w:rtl/>
        </w:rPr>
      </w:pPr>
      <w:r w:rsidRPr="00E10C9D">
        <w:rPr>
          <w:rFonts w:ascii="David" w:hAnsi="David"/>
          <w:b/>
          <w:bCs/>
          <w:rtl/>
        </w:rPr>
        <w:t>ש.</w:t>
      </w:r>
      <w:r w:rsidRPr="00E10C9D">
        <w:rPr>
          <w:rFonts w:ascii="David" w:hAnsi="David"/>
          <w:b/>
          <w:bCs/>
          <w:rtl/>
        </w:rPr>
        <w:tab/>
        <w:t>אז השוטר לא בסדר?</w:t>
      </w:r>
    </w:p>
    <w:p w:rsidR="001417C6" w:rsidRPr="00E10C9D" w:rsidRDefault="001417C6" w:rsidP="001417C6">
      <w:pPr>
        <w:tabs>
          <w:tab w:val="left" w:pos="-6153"/>
        </w:tabs>
        <w:spacing w:line="360" w:lineRule="auto"/>
        <w:ind w:left="794" w:hanging="397"/>
        <w:jc w:val="both"/>
        <w:rPr>
          <w:rFonts w:ascii="David" w:hAnsi="David"/>
          <w:b/>
          <w:bCs/>
          <w:rtl/>
        </w:rPr>
      </w:pPr>
      <w:r w:rsidRPr="00E10C9D">
        <w:rPr>
          <w:rFonts w:ascii="David" w:hAnsi="David"/>
          <w:b/>
          <w:bCs/>
          <w:rtl/>
        </w:rPr>
        <w:tab/>
        <w:t>ת.</w:t>
      </w:r>
      <w:r w:rsidRPr="00E10C9D">
        <w:rPr>
          <w:rFonts w:ascii="David" w:hAnsi="David"/>
          <w:b/>
          <w:bCs/>
          <w:rtl/>
        </w:rPr>
        <w:tab/>
        <w:t xml:space="preserve">היה מעקב של חוקר פרטי נגד גרושתי ובן זוגה, ובאותו יום היא חזרה מירושלים. </w:t>
      </w:r>
    </w:p>
    <w:p w:rsidR="001417C6" w:rsidRPr="00E10C9D" w:rsidRDefault="001417C6" w:rsidP="001417C6">
      <w:pPr>
        <w:spacing w:line="360" w:lineRule="auto"/>
        <w:ind w:left="794"/>
        <w:jc w:val="both"/>
        <w:rPr>
          <w:rFonts w:ascii="David" w:hAnsi="David"/>
          <w:b/>
          <w:bCs/>
          <w:rtl/>
        </w:rPr>
      </w:pPr>
      <w:r w:rsidRPr="00E10C9D">
        <w:rPr>
          <w:rFonts w:ascii="David" w:hAnsi="David"/>
          <w:b/>
          <w:bCs/>
          <w:rtl/>
        </w:rPr>
        <w:t>ש.</w:t>
      </w:r>
      <w:r w:rsidRPr="00E10C9D">
        <w:rPr>
          <w:rFonts w:ascii="David" w:hAnsi="David"/>
          <w:b/>
          <w:bCs/>
          <w:rtl/>
        </w:rPr>
        <w:tab/>
        <w:t>ציטוט של השוטר, אתה שמת מעקב על אילנה בירושלים, כן או לא?</w:t>
      </w:r>
    </w:p>
    <w:p w:rsidR="001417C6" w:rsidRPr="00E10C9D" w:rsidRDefault="001417C6" w:rsidP="001417C6">
      <w:pPr>
        <w:tabs>
          <w:tab w:val="left" w:pos="-6153"/>
        </w:tabs>
        <w:spacing w:line="360" w:lineRule="auto"/>
        <w:ind w:left="794" w:hanging="397"/>
        <w:jc w:val="both"/>
        <w:rPr>
          <w:rFonts w:ascii="David" w:hAnsi="David"/>
          <w:b/>
          <w:bCs/>
          <w:rtl/>
        </w:rPr>
      </w:pPr>
      <w:r w:rsidRPr="00E10C9D">
        <w:rPr>
          <w:rFonts w:ascii="David" w:hAnsi="David"/>
          <w:b/>
          <w:bCs/>
          <w:rtl/>
        </w:rPr>
        <w:tab/>
        <w:t>ת.</w:t>
      </w:r>
      <w:r w:rsidRPr="00E10C9D">
        <w:rPr>
          <w:rFonts w:ascii="David" w:hAnsi="David"/>
          <w:b/>
          <w:bCs/>
          <w:rtl/>
        </w:rPr>
        <w:tab/>
        <w:t xml:space="preserve">לא. </w:t>
      </w:r>
    </w:p>
    <w:p w:rsidR="001417C6" w:rsidRPr="00E10C9D" w:rsidRDefault="001417C6" w:rsidP="001417C6">
      <w:pPr>
        <w:spacing w:line="360" w:lineRule="auto"/>
        <w:ind w:left="794"/>
        <w:jc w:val="both"/>
        <w:rPr>
          <w:rFonts w:ascii="David" w:hAnsi="David"/>
          <w:b/>
          <w:bCs/>
          <w:rtl/>
        </w:rPr>
      </w:pPr>
      <w:r w:rsidRPr="00E10C9D">
        <w:rPr>
          <w:rFonts w:ascii="David" w:hAnsi="David"/>
          <w:b/>
          <w:bCs/>
          <w:rtl/>
        </w:rPr>
        <w:t>ש.</w:t>
      </w:r>
      <w:r w:rsidRPr="00E10C9D">
        <w:rPr>
          <w:rFonts w:ascii="David" w:hAnsi="David"/>
          <w:b/>
          <w:bCs/>
          <w:rtl/>
        </w:rPr>
        <w:tab/>
        <w:t>אז השוטר משקר?</w:t>
      </w:r>
    </w:p>
    <w:p w:rsidR="001417C6" w:rsidRPr="00E10C9D" w:rsidRDefault="001417C6" w:rsidP="001417C6">
      <w:pPr>
        <w:tabs>
          <w:tab w:val="left" w:pos="-6153"/>
        </w:tabs>
        <w:spacing w:line="360" w:lineRule="auto"/>
        <w:ind w:left="1440" w:hanging="1043"/>
        <w:jc w:val="both"/>
        <w:rPr>
          <w:rFonts w:ascii="David" w:hAnsi="David"/>
          <w:b/>
          <w:bCs/>
          <w:rtl/>
        </w:rPr>
      </w:pPr>
      <w:r w:rsidRPr="00E10C9D">
        <w:rPr>
          <w:rFonts w:ascii="David" w:hAnsi="David"/>
          <w:b/>
          <w:bCs/>
          <w:rtl/>
        </w:rPr>
        <w:t xml:space="preserve">       ת.</w:t>
      </w:r>
      <w:r w:rsidRPr="00E10C9D">
        <w:rPr>
          <w:rFonts w:ascii="David" w:hAnsi="David"/>
          <w:b/>
          <w:bCs/>
          <w:rtl/>
        </w:rPr>
        <w:tab/>
        <w:t xml:space="preserve">כן. הוא לא משקר, להגיד משקר אולי סילף, אולי התבלבל או דברים כאלה, לכן הצבתי כנגדה מעקב של חוקר פרטי. </w:t>
      </w:r>
    </w:p>
    <w:p w:rsidR="001417C6" w:rsidRPr="00E10C9D" w:rsidRDefault="001417C6" w:rsidP="001417C6">
      <w:pPr>
        <w:spacing w:line="360" w:lineRule="auto"/>
        <w:ind w:left="794"/>
        <w:jc w:val="both"/>
        <w:rPr>
          <w:rFonts w:ascii="David" w:hAnsi="David"/>
          <w:b/>
          <w:bCs/>
          <w:rtl/>
        </w:rPr>
      </w:pPr>
      <w:r w:rsidRPr="00E10C9D">
        <w:rPr>
          <w:rFonts w:ascii="David" w:hAnsi="David"/>
          <w:b/>
          <w:bCs/>
          <w:rtl/>
        </w:rPr>
        <w:t>ש.</w:t>
      </w:r>
      <w:r w:rsidRPr="00E10C9D">
        <w:rPr>
          <w:rFonts w:ascii="David" w:hAnsi="David"/>
          <w:b/>
          <w:bCs/>
          <w:rtl/>
        </w:rPr>
        <w:tab/>
        <w:t>אם אתה לא כזה אובססיבי, למה ניסית לפרוץ לה לטלפון ולפייסבוק?</w:t>
      </w:r>
    </w:p>
    <w:p w:rsidR="001417C6" w:rsidRPr="00E10C9D" w:rsidRDefault="001417C6" w:rsidP="001417C6">
      <w:pPr>
        <w:spacing w:line="360" w:lineRule="auto"/>
        <w:ind w:left="794"/>
        <w:jc w:val="both"/>
        <w:rPr>
          <w:rFonts w:ascii="David" w:hAnsi="David"/>
          <w:b/>
          <w:bCs/>
          <w:rtl/>
        </w:rPr>
      </w:pPr>
      <w:r w:rsidRPr="00E10C9D">
        <w:rPr>
          <w:rFonts w:ascii="David" w:hAnsi="David"/>
          <w:b/>
          <w:bCs/>
          <w:rtl/>
        </w:rPr>
        <w:t>ת.</w:t>
      </w:r>
      <w:r w:rsidRPr="00E10C9D">
        <w:rPr>
          <w:rFonts w:ascii="David" w:hAnsi="David"/>
          <w:b/>
          <w:bCs/>
          <w:rtl/>
        </w:rPr>
        <w:tab/>
        <w:t>אתה יכול להוכיח את זה?</w:t>
      </w:r>
    </w:p>
    <w:p w:rsidR="001417C6" w:rsidRPr="00E10C9D" w:rsidRDefault="001417C6" w:rsidP="001417C6">
      <w:pPr>
        <w:spacing w:line="360" w:lineRule="auto"/>
        <w:ind w:left="794"/>
        <w:jc w:val="both"/>
        <w:rPr>
          <w:rFonts w:ascii="David" w:hAnsi="David"/>
          <w:b/>
          <w:bCs/>
          <w:rtl/>
        </w:rPr>
      </w:pPr>
      <w:r w:rsidRPr="00E10C9D">
        <w:rPr>
          <w:rFonts w:ascii="David" w:hAnsi="David"/>
          <w:b/>
          <w:bCs/>
          <w:rtl/>
        </w:rPr>
        <w:t>ש.</w:t>
      </w:r>
      <w:r w:rsidRPr="00E10C9D">
        <w:rPr>
          <w:rFonts w:ascii="David" w:hAnsi="David"/>
          <w:b/>
          <w:bCs/>
          <w:rtl/>
        </w:rPr>
        <w:tab/>
        <w:t>אתה טוען שלא עשית את זה?</w:t>
      </w:r>
    </w:p>
    <w:p w:rsidR="001417C6" w:rsidRPr="00E10C9D" w:rsidRDefault="001417C6" w:rsidP="001417C6">
      <w:pPr>
        <w:spacing w:line="360" w:lineRule="auto"/>
        <w:ind w:left="794"/>
        <w:jc w:val="both"/>
        <w:rPr>
          <w:rFonts w:ascii="David" w:hAnsi="David"/>
          <w:b/>
          <w:bCs/>
          <w:rtl/>
        </w:rPr>
      </w:pPr>
      <w:r w:rsidRPr="00E10C9D">
        <w:rPr>
          <w:rFonts w:ascii="David" w:hAnsi="David"/>
          <w:b/>
          <w:bCs/>
          <w:rtl/>
        </w:rPr>
        <w:t>ת.</w:t>
      </w:r>
      <w:r w:rsidRPr="00E10C9D">
        <w:rPr>
          <w:rFonts w:ascii="David" w:hAnsi="David"/>
          <w:b/>
          <w:bCs/>
          <w:rtl/>
        </w:rPr>
        <w:tab/>
        <w:t xml:space="preserve">לא. </w:t>
      </w:r>
    </w:p>
    <w:p w:rsidR="001417C6" w:rsidRPr="00E10C9D" w:rsidRDefault="001417C6" w:rsidP="001417C6">
      <w:pPr>
        <w:tabs>
          <w:tab w:val="left" w:pos="-6153"/>
        </w:tabs>
        <w:spacing w:line="360" w:lineRule="auto"/>
        <w:ind w:left="794" w:hanging="397"/>
        <w:jc w:val="both"/>
        <w:rPr>
          <w:rFonts w:ascii="David" w:hAnsi="David"/>
          <w:b/>
          <w:bCs/>
          <w:rtl/>
        </w:rPr>
      </w:pPr>
      <w:r w:rsidRPr="00E10C9D">
        <w:rPr>
          <w:rFonts w:ascii="David" w:hAnsi="David"/>
          <w:b/>
          <w:bCs/>
          <w:rtl/>
        </w:rPr>
        <w:tab/>
        <w:t>ש.</w:t>
      </w:r>
      <w:r w:rsidRPr="00E10C9D">
        <w:rPr>
          <w:rFonts w:ascii="David" w:hAnsi="David"/>
          <w:b/>
          <w:bCs/>
          <w:rtl/>
        </w:rPr>
        <w:tab/>
        <w:t>מעולם לא פרצת לא לטלפון ולא לפייסבוק?</w:t>
      </w:r>
    </w:p>
    <w:p w:rsidR="001417C6" w:rsidRPr="00E10C9D" w:rsidRDefault="001417C6" w:rsidP="001417C6">
      <w:pPr>
        <w:spacing w:line="360" w:lineRule="auto"/>
        <w:ind w:left="794" w:hanging="74"/>
        <w:jc w:val="both"/>
        <w:rPr>
          <w:rFonts w:ascii="David" w:hAnsi="David"/>
          <w:b/>
          <w:bCs/>
          <w:rtl/>
        </w:rPr>
      </w:pPr>
      <w:r w:rsidRPr="00E10C9D">
        <w:rPr>
          <w:rFonts w:ascii="David" w:hAnsi="David"/>
          <w:b/>
          <w:bCs/>
          <w:rtl/>
        </w:rPr>
        <w:t xml:space="preserve"> ת.</w:t>
      </w:r>
      <w:r w:rsidRPr="00E10C9D">
        <w:rPr>
          <w:rFonts w:ascii="David" w:hAnsi="David"/>
          <w:b/>
          <w:bCs/>
          <w:rtl/>
        </w:rPr>
        <w:tab/>
        <w:t xml:space="preserve">לא. </w:t>
      </w:r>
    </w:p>
    <w:p w:rsidR="001417C6" w:rsidRPr="00E10C9D" w:rsidRDefault="001417C6" w:rsidP="001417C6">
      <w:pPr>
        <w:pStyle w:val="David"/>
        <w:ind w:left="397" w:firstLine="323"/>
        <w:rPr>
          <w:rFonts w:ascii="David" w:hAnsi="David"/>
          <w:b/>
          <w:bCs/>
          <w:u w:val="single"/>
          <w:rtl/>
        </w:rPr>
      </w:pPr>
      <w:r w:rsidRPr="00E10C9D">
        <w:rPr>
          <w:rFonts w:ascii="David" w:hAnsi="David"/>
          <w:b/>
          <w:bCs/>
          <w:u w:val="single"/>
          <w:rtl/>
        </w:rPr>
        <w:t>ב"כ הנתבעת:</w:t>
      </w:r>
    </w:p>
    <w:p w:rsidR="001417C6" w:rsidRPr="00E10C9D" w:rsidRDefault="001417C6" w:rsidP="001417C6">
      <w:pPr>
        <w:tabs>
          <w:tab w:val="left" w:pos="-6153"/>
        </w:tabs>
        <w:spacing w:line="360" w:lineRule="auto"/>
        <w:ind w:left="794" w:hanging="397"/>
        <w:jc w:val="both"/>
        <w:rPr>
          <w:rFonts w:ascii="David" w:hAnsi="David"/>
          <w:b/>
          <w:bCs/>
          <w:rtl/>
        </w:rPr>
      </w:pPr>
      <w:r w:rsidRPr="00E10C9D">
        <w:rPr>
          <w:rFonts w:ascii="David" w:hAnsi="David"/>
          <w:b/>
          <w:bCs/>
          <w:rtl/>
        </w:rPr>
        <w:tab/>
        <w:t xml:space="preserve">אני מפנה את בית המשפט לנספח ב' שבו אנחנו רואים "האדם הזה ניסה ..." בקיצור מה שכתוב פה שהוא מנסה לפרוץ לה לפייסבוק. זה נספח ב'. </w:t>
      </w:r>
    </w:p>
    <w:p w:rsidR="001417C6" w:rsidRPr="00E10C9D" w:rsidRDefault="001417C6" w:rsidP="001417C6">
      <w:pPr>
        <w:pStyle w:val="David"/>
        <w:ind w:left="397" w:firstLine="323"/>
        <w:rPr>
          <w:rFonts w:ascii="David" w:hAnsi="David"/>
          <w:b/>
          <w:bCs/>
          <w:u w:val="single"/>
          <w:rtl/>
        </w:rPr>
      </w:pPr>
      <w:r w:rsidRPr="00E10C9D">
        <w:rPr>
          <w:rFonts w:ascii="David" w:hAnsi="David"/>
          <w:b/>
          <w:bCs/>
          <w:u w:val="single"/>
          <w:rtl/>
        </w:rPr>
        <w:t>המשך חקירה:</w:t>
      </w:r>
    </w:p>
    <w:p w:rsidR="001417C6" w:rsidRPr="00E10C9D" w:rsidRDefault="001417C6" w:rsidP="001417C6">
      <w:pPr>
        <w:tabs>
          <w:tab w:val="left" w:pos="-6153"/>
        </w:tabs>
        <w:spacing w:line="360" w:lineRule="auto"/>
        <w:ind w:left="794" w:hanging="397"/>
        <w:jc w:val="both"/>
        <w:rPr>
          <w:rFonts w:ascii="David" w:hAnsi="David"/>
          <w:b/>
          <w:bCs/>
          <w:rtl/>
        </w:rPr>
      </w:pPr>
      <w:r w:rsidRPr="00E10C9D">
        <w:rPr>
          <w:rFonts w:ascii="David" w:hAnsi="David"/>
          <w:b/>
          <w:bCs/>
          <w:rtl/>
        </w:rPr>
        <w:tab/>
        <w:t>ש.</w:t>
      </w:r>
      <w:r w:rsidRPr="00E10C9D">
        <w:rPr>
          <w:rFonts w:ascii="David" w:hAnsi="David"/>
          <w:b/>
          <w:bCs/>
          <w:rtl/>
        </w:rPr>
        <w:tab/>
        <w:t>מה יש לך להגיד על זה, זה לא היה, זה שקר?</w:t>
      </w:r>
    </w:p>
    <w:p w:rsidR="001417C6" w:rsidRPr="00E10C9D" w:rsidRDefault="001417C6" w:rsidP="001417C6">
      <w:pPr>
        <w:spacing w:line="360" w:lineRule="auto"/>
        <w:ind w:left="794"/>
        <w:jc w:val="both"/>
        <w:rPr>
          <w:rFonts w:ascii="David" w:hAnsi="David"/>
          <w:b/>
          <w:bCs/>
          <w:rtl/>
        </w:rPr>
      </w:pPr>
      <w:r w:rsidRPr="00E10C9D">
        <w:rPr>
          <w:rFonts w:ascii="David" w:hAnsi="David"/>
          <w:b/>
          <w:bCs/>
          <w:rtl/>
        </w:rPr>
        <w:t>ת.</w:t>
      </w:r>
      <w:r w:rsidRPr="00E10C9D">
        <w:rPr>
          <w:rFonts w:ascii="David" w:hAnsi="David"/>
          <w:b/>
          <w:bCs/>
          <w:rtl/>
        </w:rPr>
        <w:tab/>
        <w:t xml:space="preserve">זה היה. </w:t>
      </w:r>
    </w:p>
    <w:p w:rsidR="001417C6" w:rsidRPr="00E10C9D" w:rsidRDefault="001417C6" w:rsidP="001417C6">
      <w:pPr>
        <w:tabs>
          <w:tab w:val="left" w:pos="-6153"/>
        </w:tabs>
        <w:spacing w:line="360" w:lineRule="auto"/>
        <w:ind w:left="794" w:hanging="397"/>
        <w:jc w:val="both"/>
        <w:rPr>
          <w:rFonts w:ascii="David" w:hAnsi="David"/>
          <w:b/>
          <w:bCs/>
          <w:rtl/>
        </w:rPr>
      </w:pPr>
      <w:r w:rsidRPr="00E10C9D">
        <w:rPr>
          <w:rFonts w:ascii="David" w:hAnsi="David"/>
          <w:b/>
          <w:bCs/>
          <w:rtl/>
        </w:rPr>
        <w:tab/>
        <w:t>ש.</w:t>
      </w:r>
      <w:r w:rsidRPr="00E10C9D">
        <w:rPr>
          <w:rFonts w:ascii="David" w:hAnsi="David"/>
          <w:b/>
          <w:bCs/>
          <w:rtl/>
        </w:rPr>
        <w:tab/>
        <w:t>אז קודם כשאמרת שלא היה, שיקרת?</w:t>
      </w:r>
    </w:p>
    <w:p w:rsidR="001417C6" w:rsidRPr="00E10C9D" w:rsidRDefault="001417C6" w:rsidP="001417C6">
      <w:pPr>
        <w:spacing w:line="360" w:lineRule="auto"/>
        <w:ind w:left="794" w:hanging="74"/>
        <w:jc w:val="both"/>
        <w:rPr>
          <w:rFonts w:ascii="David" w:hAnsi="David"/>
          <w:b/>
          <w:bCs/>
          <w:rtl/>
        </w:rPr>
      </w:pPr>
      <w:r w:rsidRPr="00E10C9D">
        <w:rPr>
          <w:rFonts w:ascii="David" w:hAnsi="David"/>
          <w:b/>
          <w:bCs/>
          <w:rtl/>
        </w:rPr>
        <w:t xml:space="preserve"> ת.</w:t>
      </w:r>
      <w:r w:rsidRPr="00E10C9D">
        <w:rPr>
          <w:rFonts w:ascii="David" w:hAnsi="David"/>
          <w:b/>
          <w:bCs/>
          <w:rtl/>
        </w:rPr>
        <w:tab/>
        <w:t xml:space="preserve">לא פרצתי. </w:t>
      </w:r>
    </w:p>
    <w:p w:rsidR="001417C6" w:rsidRPr="00E10C9D" w:rsidRDefault="001417C6" w:rsidP="001417C6">
      <w:pPr>
        <w:spacing w:line="360" w:lineRule="auto"/>
        <w:ind w:left="794" w:hanging="74"/>
        <w:jc w:val="both"/>
        <w:rPr>
          <w:rFonts w:ascii="David" w:hAnsi="David"/>
          <w:b/>
          <w:bCs/>
          <w:rtl/>
        </w:rPr>
      </w:pPr>
      <w:r w:rsidRPr="00E10C9D">
        <w:rPr>
          <w:rFonts w:ascii="David" w:hAnsi="David"/>
          <w:b/>
          <w:bCs/>
          <w:rtl/>
        </w:rPr>
        <w:t>ש.</w:t>
      </w:r>
      <w:r w:rsidRPr="00E10C9D">
        <w:rPr>
          <w:rFonts w:ascii="David" w:hAnsi="David"/>
          <w:b/>
          <w:bCs/>
          <w:rtl/>
        </w:rPr>
        <w:tab/>
        <w:t>אז מה עשית?</w:t>
      </w:r>
    </w:p>
    <w:p w:rsidR="001417C6" w:rsidRPr="00E10C9D" w:rsidRDefault="001417C6" w:rsidP="001417C6">
      <w:pPr>
        <w:spacing w:line="360" w:lineRule="auto"/>
        <w:ind w:left="794" w:hanging="74"/>
        <w:jc w:val="both"/>
        <w:rPr>
          <w:rFonts w:ascii="David" w:hAnsi="David"/>
          <w:b/>
          <w:bCs/>
          <w:rtl/>
        </w:rPr>
      </w:pPr>
      <w:r w:rsidRPr="00E10C9D">
        <w:rPr>
          <w:rFonts w:ascii="David" w:hAnsi="David"/>
          <w:b/>
          <w:bCs/>
          <w:rtl/>
        </w:rPr>
        <w:t>ת.</w:t>
      </w:r>
      <w:r w:rsidRPr="00E10C9D">
        <w:rPr>
          <w:rFonts w:ascii="David" w:hAnsi="David"/>
          <w:b/>
          <w:bCs/>
          <w:rtl/>
        </w:rPr>
        <w:tab/>
        <w:t xml:space="preserve">זו לא פריצה, התקנתי תוכנת מעקב בטלפון ותוכנת המעקב בטלפון צילמה אותי. </w:t>
      </w:r>
    </w:p>
    <w:p w:rsidR="001417C6" w:rsidRPr="00E10C9D" w:rsidRDefault="001417C6" w:rsidP="001417C6">
      <w:pPr>
        <w:spacing w:line="360" w:lineRule="auto"/>
        <w:ind w:left="794" w:hanging="74"/>
        <w:jc w:val="both"/>
        <w:rPr>
          <w:rFonts w:ascii="David" w:hAnsi="David"/>
          <w:b/>
          <w:bCs/>
          <w:rtl/>
        </w:rPr>
      </w:pPr>
      <w:r w:rsidRPr="00E10C9D">
        <w:rPr>
          <w:rFonts w:ascii="David" w:hAnsi="David"/>
          <w:b/>
          <w:bCs/>
          <w:rtl/>
        </w:rPr>
        <w:t>ש.</w:t>
      </w:r>
      <w:r w:rsidRPr="00E10C9D">
        <w:rPr>
          <w:rFonts w:ascii="David" w:hAnsi="David"/>
          <w:b/>
          <w:bCs/>
          <w:rtl/>
        </w:rPr>
        <w:tab/>
        <w:t>אז בעצם התקנת תוכנת מעקב בטלפון של מרשתי?</w:t>
      </w:r>
    </w:p>
    <w:p w:rsidR="001417C6" w:rsidRPr="00E10C9D" w:rsidRDefault="001417C6" w:rsidP="001417C6">
      <w:pPr>
        <w:tabs>
          <w:tab w:val="left" w:pos="-5019"/>
        </w:tabs>
        <w:spacing w:line="360" w:lineRule="auto"/>
        <w:ind w:left="708" w:hanging="397"/>
        <w:jc w:val="both"/>
        <w:rPr>
          <w:rFonts w:ascii="David" w:hAnsi="David"/>
          <w:b/>
          <w:bCs/>
          <w:rtl/>
        </w:rPr>
      </w:pPr>
      <w:r w:rsidRPr="00E10C9D">
        <w:rPr>
          <w:rFonts w:ascii="David" w:hAnsi="David"/>
          <w:b/>
          <w:bCs/>
          <w:rtl/>
        </w:rPr>
        <w:tab/>
        <w:t>ת.</w:t>
      </w:r>
      <w:r w:rsidRPr="00E10C9D">
        <w:rPr>
          <w:rFonts w:ascii="David" w:hAnsi="David"/>
          <w:b/>
          <w:bCs/>
          <w:rtl/>
        </w:rPr>
        <w:tab/>
        <w:t xml:space="preserve">תוכנת מעקב, כן. </w:t>
      </w:r>
    </w:p>
    <w:p w:rsidR="001417C6" w:rsidRPr="00E10C9D" w:rsidRDefault="001417C6" w:rsidP="001417C6">
      <w:pPr>
        <w:spacing w:line="360" w:lineRule="auto"/>
        <w:ind w:left="1440" w:hanging="720"/>
        <w:jc w:val="both"/>
        <w:rPr>
          <w:rFonts w:ascii="David" w:hAnsi="David"/>
          <w:b/>
          <w:bCs/>
          <w:rtl/>
        </w:rPr>
      </w:pPr>
      <w:r w:rsidRPr="00E10C9D">
        <w:rPr>
          <w:rFonts w:ascii="David" w:hAnsi="David"/>
          <w:b/>
          <w:bCs/>
          <w:rtl/>
        </w:rPr>
        <w:t>ש.</w:t>
      </w:r>
      <w:r w:rsidRPr="00E10C9D">
        <w:rPr>
          <w:rFonts w:ascii="David" w:hAnsi="David"/>
          <w:b/>
          <w:bCs/>
          <w:rtl/>
        </w:rPr>
        <w:tab/>
        <w:t>הווה אומר שבעצם, כאשר אתה מתקין תוכנה אצל מישהו שאתה לא מורשה, זו פריצה.</w:t>
      </w:r>
    </w:p>
    <w:p w:rsidR="001417C6" w:rsidRPr="00E10C9D" w:rsidRDefault="001417C6" w:rsidP="001417C6">
      <w:pPr>
        <w:tabs>
          <w:tab w:val="left" w:pos="-6153"/>
        </w:tabs>
        <w:spacing w:line="360" w:lineRule="auto"/>
        <w:ind w:left="794" w:hanging="397"/>
        <w:jc w:val="both"/>
        <w:rPr>
          <w:rFonts w:ascii="David" w:hAnsi="David"/>
          <w:b/>
          <w:bCs/>
          <w:rtl/>
        </w:rPr>
      </w:pPr>
      <w:r w:rsidRPr="00E10C9D">
        <w:rPr>
          <w:rFonts w:ascii="David" w:hAnsi="David"/>
          <w:b/>
          <w:bCs/>
          <w:rtl/>
        </w:rPr>
        <w:tab/>
        <w:t>ת.</w:t>
      </w:r>
      <w:r w:rsidRPr="00E10C9D">
        <w:rPr>
          <w:rFonts w:ascii="David" w:hAnsi="David"/>
          <w:b/>
          <w:bCs/>
          <w:rtl/>
        </w:rPr>
        <w:tab/>
        <w:t>למה לא מורשה? זה טלפון שלי, אני קניתי אותו מכספי והוא היה בשימושה.</w:t>
      </w:r>
    </w:p>
    <w:p w:rsidR="001417C6" w:rsidRPr="00E10C9D" w:rsidRDefault="001417C6" w:rsidP="001417C6">
      <w:pPr>
        <w:spacing w:line="360" w:lineRule="auto"/>
        <w:ind w:left="794" w:hanging="74"/>
        <w:jc w:val="both"/>
        <w:rPr>
          <w:rFonts w:ascii="David" w:hAnsi="David"/>
          <w:b/>
          <w:bCs/>
          <w:rtl/>
        </w:rPr>
      </w:pPr>
      <w:r w:rsidRPr="00E10C9D">
        <w:rPr>
          <w:rFonts w:ascii="David" w:hAnsi="David"/>
          <w:b/>
          <w:bCs/>
          <w:rtl/>
        </w:rPr>
        <w:t xml:space="preserve"> ש.</w:t>
      </w:r>
      <w:r w:rsidRPr="00E10C9D">
        <w:rPr>
          <w:rFonts w:ascii="David" w:hAnsi="David"/>
          <w:b/>
          <w:bCs/>
          <w:rtl/>
        </w:rPr>
        <w:tab/>
        <w:t>היום הטלפון עדיין בשימושה?</w:t>
      </w:r>
    </w:p>
    <w:p w:rsidR="001417C6" w:rsidRPr="00E10C9D" w:rsidRDefault="001417C6" w:rsidP="001417C6">
      <w:pPr>
        <w:spacing w:line="360" w:lineRule="auto"/>
        <w:ind w:left="794" w:hanging="74"/>
        <w:jc w:val="both"/>
        <w:rPr>
          <w:rFonts w:ascii="David" w:hAnsi="David"/>
          <w:b/>
          <w:bCs/>
          <w:rtl/>
        </w:rPr>
      </w:pPr>
      <w:r w:rsidRPr="00E10C9D">
        <w:rPr>
          <w:rFonts w:ascii="David" w:hAnsi="David"/>
          <w:b/>
          <w:bCs/>
          <w:rtl/>
        </w:rPr>
        <w:t>ת.</w:t>
      </w:r>
      <w:r w:rsidRPr="00E10C9D">
        <w:rPr>
          <w:rFonts w:ascii="David" w:hAnsi="David"/>
          <w:b/>
          <w:bCs/>
          <w:rtl/>
        </w:rPr>
        <w:tab/>
        <w:t xml:space="preserve">לא. </w:t>
      </w:r>
    </w:p>
    <w:p w:rsidR="001417C6" w:rsidRPr="00E10C9D" w:rsidRDefault="001417C6" w:rsidP="001417C6">
      <w:pPr>
        <w:spacing w:line="360" w:lineRule="auto"/>
        <w:ind w:left="1440" w:hanging="720"/>
        <w:jc w:val="both"/>
        <w:rPr>
          <w:rFonts w:ascii="David" w:hAnsi="David"/>
          <w:b/>
          <w:bCs/>
          <w:rtl/>
        </w:rPr>
      </w:pPr>
      <w:r w:rsidRPr="00E10C9D">
        <w:rPr>
          <w:rFonts w:ascii="David" w:hAnsi="David"/>
          <w:b/>
          <w:bCs/>
          <w:rtl/>
        </w:rPr>
        <w:t>ש.</w:t>
      </w:r>
      <w:r w:rsidRPr="00E10C9D">
        <w:rPr>
          <w:rFonts w:ascii="David" w:hAnsi="David"/>
          <w:b/>
          <w:bCs/>
          <w:rtl/>
        </w:rPr>
        <w:tab/>
        <w:t>אבל זה היה טלפון אישי שלה, ולאורך כל זמן נישואיכם היא זו שהשתמשה בו? זה היה טלפון שלה?</w:t>
      </w:r>
    </w:p>
    <w:p w:rsidR="001417C6" w:rsidRPr="00E10C9D" w:rsidRDefault="001417C6" w:rsidP="001417C6">
      <w:pPr>
        <w:spacing w:line="360" w:lineRule="auto"/>
        <w:ind w:left="794" w:hanging="74"/>
        <w:jc w:val="both"/>
        <w:rPr>
          <w:rFonts w:ascii="David" w:hAnsi="David"/>
          <w:rtl/>
        </w:rPr>
      </w:pPr>
      <w:r w:rsidRPr="00E10C9D">
        <w:rPr>
          <w:rFonts w:ascii="David" w:hAnsi="David"/>
          <w:b/>
          <w:bCs/>
          <w:rtl/>
        </w:rPr>
        <w:lastRenderedPageBreak/>
        <w:t>ת.</w:t>
      </w:r>
      <w:r w:rsidRPr="00E10C9D">
        <w:rPr>
          <w:rFonts w:ascii="David" w:hAnsi="David"/>
          <w:b/>
          <w:bCs/>
          <w:rtl/>
        </w:rPr>
        <w:tab/>
        <w:t xml:space="preserve">זה היה טלפון שלה, לשימושה, כן. </w:t>
      </w:r>
      <w:r w:rsidRPr="00E10C9D">
        <w:rPr>
          <w:rFonts w:ascii="David" w:hAnsi="David"/>
          <w:rtl/>
        </w:rPr>
        <w:t>" דומני שהדברים מדברים בעד עצמם.</w:t>
      </w:r>
    </w:p>
    <w:p w:rsidR="001417C6" w:rsidRPr="00E10C9D" w:rsidRDefault="001417C6" w:rsidP="001417C6">
      <w:pPr>
        <w:tabs>
          <w:tab w:val="left" w:pos="397"/>
        </w:tabs>
        <w:spacing w:line="360" w:lineRule="auto"/>
        <w:ind w:left="397" w:hanging="397"/>
        <w:jc w:val="both"/>
        <w:rPr>
          <w:rFonts w:ascii="David" w:hAnsi="David"/>
          <w:sz w:val="22"/>
          <w:szCs w:val="22"/>
          <w:rtl/>
        </w:rPr>
      </w:pPr>
    </w:p>
    <w:p w:rsidR="001417C6" w:rsidRPr="00E10C9D" w:rsidRDefault="001417C6" w:rsidP="001417C6">
      <w:pPr>
        <w:spacing w:line="360" w:lineRule="auto"/>
        <w:ind w:left="720" w:hanging="720"/>
        <w:jc w:val="both"/>
        <w:rPr>
          <w:rFonts w:ascii="David" w:hAnsi="David"/>
          <w:b/>
          <w:bCs/>
          <w:u w:val="single"/>
          <w:rtl/>
        </w:rPr>
      </w:pPr>
      <w:r w:rsidRPr="00E10C9D">
        <w:rPr>
          <w:rFonts w:ascii="David" w:hAnsi="David"/>
          <w:u w:val="single"/>
          <w:rtl/>
        </w:rPr>
        <w:t xml:space="preserve"> </w:t>
      </w:r>
      <w:r w:rsidRPr="00E10C9D">
        <w:rPr>
          <w:rFonts w:ascii="David" w:hAnsi="David"/>
          <w:b/>
          <w:bCs/>
          <w:u w:val="single"/>
          <w:rtl/>
        </w:rPr>
        <w:t xml:space="preserve">האם הפרסומים הם לשון הרע? </w:t>
      </w:r>
    </w:p>
    <w:p w:rsidR="001417C6" w:rsidRPr="00E10C9D" w:rsidRDefault="001417C6" w:rsidP="001417C6">
      <w:pPr>
        <w:spacing w:line="360" w:lineRule="auto"/>
        <w:ind w:left="720" w:hanging="720"/>
        <w:jc w:val="both"/>
        <w:rPr>
          <w:rFonts w:ascii="David" w:hAnsi="David"/>
          <w:b/>
          <w:bCs/>
          <w:u w:val="single"/>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43.</w:t>
      </w:r>
      <w:r w:rsidRPr="00E10C9D">
        <w:rPr>
          <w:rFonts w:ascii="David" w:hAnsi="David"/>
          <w:rtl/>
        </w:rPr>
        <w:tab/>
        <w:t xml:space="preserve">כזכור מ. הלין על שני פרסומים שנאמרו בעל פה. לאחר שדחיתי את התביעה ביחס לאותה דיירת ש.ח. נותר לבדוק האם הדברים שאמר בבית הקפה שאת נכונותם קיבלתי, כאמור, הם לשון הרע. דומני שכל מי שעיניו בראשו יגיע לכדי מסקנה שייחוס הדברים לא. גרושתו ולכל אישה באשר היא מהווים לשון הרע. איני חושב שיש מקום להרחיב מעבר לקביעה זו. </w:t>
      </w: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אין לי אלא לדחות את הגנתו של מ. שטען בסעיף 23 לכתב הגנתו ש "</w:t>
      </w:r>
      <w:r w:rsidRPr="00E10C9D">
        <w:rPr>
          <w:rFonts w:ascii="David" w:hAnsi="David"/>
          <w:b/>
          <w:bCs/>
          <w:rtl/>
        </w:rPr>
        <w:t>וכי יעלה על הדעת שהנתבע יפתח את פיו ויקלל ויקלס את הנתבעת בפרהסיה ובפני אדם זר שהרי בסופו של יום הנתבעת היא אם ילדיו</w:t>
      </w:r>
      <w:r w:rsidRPr="00E10C9D">
        <w:rPr>
          <w:rFonts w:ascii="David" w:hAnsi="David"/>
          <w:rtl/>
        </w:rPr>
        <w:t xml:space="preserve">".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ab/>
        <w:t>לבד מהיות הדברים בלתי ראויים, רדודים ובלתי נסבלים כלפי כל אישה באשר היא, דברים שיש בהם כדי להפוך נשים למטרה לנגוח ופגיעה בהן מקל וחומר לפי תפיסת עולמו של מ. המבדל את  א. ורואה בה "</w:t>
      </w:r>
      <w:r w:rsidRPr="00E10C9D">
        <w:rPr>
          <w:rFonts w:ascii="David" w:hAnsi="David"/>
          <w:b/>
          <w:bCs/>
          <w:rtl/>
        </w:rPr>
        <w:t>בסופו של יום הנתבעת היא אם ילדיו</w:t>
      </w:r>
      <w:r w:rsidRPr="00E10C9D">
        <w:rPr>
          <w:rFonts w:ascii="David" w:hAnsi="David"/>
          <w:rtl/>
        </w:rPr>
        <w:t xml:space="preserve">". דברים אלו ואופן הצגתה הם פוגעניים ובוודאי שהם לשון הרע.  </w:t>
      </w:r>
    </w:p>
    <w:p w:rsidR="001417C6" w:rsidRPr="00E10C9D" w:rsidRDefault="001417C6" w:rsidP="001417C6">
      <w:pPr>
        <w:spacing w:line="360" w:lineRule="auto"/>
        <w:ind w:left="720" w:hanging="720"/>
        <w:jc w:val="both"/>
        <w:rPr>
          <w:rFonts w:ascii="David" w:hAnsi="David"/>
          <w:rtl/>
        </w:rPr>
      </w:pPr>
    </w:p>
    <w:p w:rsidR="001417C6" w:rsidRPr="00E10C9D" w:rsidRDefault="001417C6" w:rsidP="001417C6">
      <w:pPr>
        <w:spacing w:line="360" w:lineRule="auto"/>
        <w:ind w:left="720" w:hanging="720"/>
        <w:jc w:val="both"/>
        <w:rPr>
          <w:rFonts w:ascii="David" w:hAnsi="David"/>
          <w:b/>
          <w:bCs/>
          <w:u w:val="single"/>
          <w:rtl/>
        </w:rPr>
      </w:pPr>
      <w:r w:rsidRPr="00E10C9D">
        <w:rPr>
          <w:rFonts w:ascii="David" w:hAnsi="David"/>
          <w:b/>
          <w:bCs/>
          <w:u w:val="single"/>
          <w:rtl/>
        </w:rPr>
        <w:t>האם מדובר בפרסומים מותרים  מכוח סעיף 13 לחוק?</w:t>
      </w:r>
    </w:p>
    <w:p w:rsidR="001417C6" w:rsidRPr="00E10C9D" w:rsidRDefault="001417C6" w:rsidP="001417C6">
      <w:pPr>
        <w:spacing w:line="360" w:lineRule="auto"/>
        <w:ind w:left="720" w:hanging="720"/>
        <w:jc w:val="both"/>
        <w:rPr>
          <w:rFonts w:ascii="David" w:hAnsi="David"/>
          <w:b/>
          <w:bCs/>
          <w:u w:val="single"/>
          <w:rtl/>
        </w:rPr>
      </w:pPr>
    </w:p>
    <w:p w:rsidR="001417C6" w:rsidRPr="00E10C9D" w:rsidRDefault="001417C6" w:rsidP="001417C6">
      <w:pPr>
        <w:spacing w:line="360" w:lineRule="auto"/>
        <w:ind w:left="720" w:hanging="720"/>
        <w:jc w:val="both"/>
        <w:rPr>
          <w:rFonts w:ascii="David" w:hAnsi="David"/>
          <w:rtl/>
        </w:rPr>
      </w:pPr>
      <w:r w:rsidRPr="00E10C9D">
        <w:rPr>
          <w:rFonts w:ascii="David" w:hAnsi="David"/>
          <w:rtl/>
        </w:rPr>
        <w:t>44.</w:t>
      </w:r>
      <w:r w:rsidRPr="00E10C9D">
        <w:rPr>
          <w:rFonts w:ascii="David" w:hAnsi="David"/>
          <w:rtl/>
        </w:rPr>
        <w:tab/>
        <w:t xml:space="preserve">משקבעתי שמדובר בפרסום המהווה לשון הרע ובשים לב להגנת מ. 'לא אמרתי' ומשעה שזו טענתו היחידה והמהותית ומשעה שנקבע שאכן אמר את המיוחס לו הרי שלא עומדת לו כל הגנה הקיימת בחוק ומדובר בפרסום שאינו מותר על פי החוק. </w:t>
      </w:r>
    </w:p>
    <w:p w:rsidR="001417C6" w:rsidRPr="00E10C9D" w:rsidRDefault="001417C6" w:rsidP="001417C6">
      <w:pPr>
        <w:spacing w:line="360" w:lineRule="auto"/>
        <w:ind w:left="720" w:hanging="720"/>
        <w:jc w:val="both"/>
        <w:rPr>
          <w:rFonts w:ascii="David" w:hAnsi="David"/>
          <w:rtl/>
        </w:rPr>
      </w:pPr>
      <w:r w:rsidRPr="00E10C9D">
        <w:rPr>
          <w:rFonts w:ascii="David" w:hAnsi="David"/>
          <w:rtl/>
        </w:rPr>
        <w:tab/>
        <w:t xml:space="preserve"> </w:t>
      </w:r>
    </w:p>
    <w:p w:rsidR="001417C6" w:rsidRPr="00E10C9D" w:rsidRDefault="001417C6" w:rsidP="001417C6">
      <w:pPr>
        <w:spacing w:line="360" w:lineRule="auto"/>
        <w:ind w:left="720"/>
        <w:jc w:val="both"/>
        <w:rPr>
          <w:rFonts w:ascii="David" w:hAnsi="David"/>
          <w:rtl/>
        </w:rPr>
      </w:pPr>
      <w:r w:rsidRPr="00E10C9D">
        <w:rPr>
          <w:rFonts w:ascii="David" w:hAnsi="David"/>
          <w:rtl/>
        </w:rPr>
        <w:t>משכך אני קובע שהפרסום שהושמע באזני החָברה בקפה קרמה הוא לשון הרע של מ. כלפי א.</w:t>
      </w:r>
    </w:p>
    <w:p w:rsidR="001417C6" w:rsidRPr="00E10C9D" w:rsidRDefault="001417C6" w:rsidP="001417C6">
      <w:pPr>
        <w:spacing w:line="360" w:lineRule="auto"/>
        <w:ind w:left="720"/>
        <w:jc w:val="both"/>
        <w:rPr>
          <w:rFonts w:ascii="David" w:hAnsi="David"/>
          <w:rtl/>
        </w:rPr>
      </w:pPr>
    </w:p>
    <w:p w:rsidR="001417C6" w:rsidRPr="00E10C9D" w:rsidRDefault="001417C6" w:rsidP="001417C6">
      <w:pPr>
        <w:spacing w:line="360" w:lineRule="auto"/>
        <w:ind w:left="714" w:hanging="772"/>
        <w:jc w:val="both"/>
        <w:rPr>
          <w:rFonts w:ascii="David" w:hAnsi="David"/>
          <w:rtl/>
        </w:rPr>
      </w:pPr>
      <w:r w:rsidRPr="00E10C9D">
        <w:rPr>
          <w:rFonts w:ascii="David" w:hAnsi="David"/>
          <w:rtl/>
        </w:rPr>
        <w:t>45.</w:t>
      </w:r>
      <w:r w:rsidRPr="00E10C9D">
        <w:rPr>
          <w:rFonts w:ascii="David" w:hAnsi="David"/>
          <w:rtl/>
        </w:rPr>
        <w:tab/>
      </w:r>
      <w:r w:rsidRPr="00E10C9D">
        <w:rPr>
          <w:rFonts w:ascii="David" w:hAnsi="David"/>
          <w:u w:val="single"/>
          <w:rtl/>
        </w:rPr>
        <w:t>בשים לב לאמור לעיל אני מקבל את תביעתה של א. כלפי מ. בפרסום השני ולאור התוצאה אליה הגעתי מ. יישא בהוצאות א.  בסך 10,000 ₪.</w:t>
      </w:r>
    </w:p>
    <w:p w:rsidR="001417C6" w:rsidRPr="00E10C9D" w:rsidRDefault="001417C6" w:rsidP="001417C6">
      <w:pPr>
        <w:spacing w:line="360" w:lineRule="auto"/>
        <w:ind w:left="714" w:hanging="772"/>
        <w:jc w:val="both"/>
        <w:rPr>
          <w:rFonts w:ascii="David" w:hAnsi="David"/>
          <w:rtl/>
        </w:rPr>
      </w:pPr>
    </w:p>
    <w:p w:rsidR="001417C6" w:rsidRPr="00E10C9D" w:rsidRDefault="001417C6" w:rsidP="001417C6">
      <w:pPr>
        <w:spacing w:line="360" w:lineRule="auto"/>
        <w:ind w:left="-58"/>
        <w:jc w:val="both"/>
        <w:rPr>
          <w:rFonts w:ascii="David" w:hAnsi="David"/>
          <w:b/>
          <w:bCs/>
          <w:sz w:val="28"/>
          <w:szCs w:val="28"/>
          <w:rtl/>
        </w:rPr>
      </w:pPr>
      <w:r w:rsidRPr="00E10C9D">
        <w:rPr>
          <w:rFonts w:ascii="David" w:hAnsi="David"/>
          <w:rtl/>
        </w:rPr>
        <w:t xml:space="preserve"> </w:t>
      </w:r>
      <w:r w:rsidRPr="00E10C9D">
        <w:rPr>
          <w:rFonts w:ascii="David" w:hAnsi="David"/>
          <w:b/>
          <w:bCs/>
          <w:sz w:val="28"/>
          <w:szCs w:val="28"/>
          <w:u w:val="single"/>
          <w:rtl/>
        </w:rPr>
        <w:t>אחרית דבר</w:t>
      </w:r>
      <w:r w:rsidRPr="00E10C9D">
        <w:rPr>
          <w:rFonts w:ascii="David" w:hAnsi="David"/>
          <w:b/>
          <w:bCs/>
          <w:sz w:val="28"/>
          <w:szCs w:val="28"/>
          <w:rtl/>
        </w:rPr>
        <w:t>:</w:t>
      </w:r>
    </w:p>
    <w:p w:rsidR="001417C6" w:rsidRPr="00E10C9D" w:rsidRDefault="001417C6" w:rsidP="001417C6">
      <w:pPr>
        <w:spacing w:line="360" w:lineRule="auto"/>
        <w:ind w:left="-58"/>
        <w:jc w:val="both"/>
        <w:rPr>
          <w:rFonts w:ascii="David" w:hAnsi="David"/>
          <w:b/>
          <w:bCs/>
          <w:sz w:val="28"/>
          <w:szCs w:val="28"/>
          <w:rtl/>
        </w:rPr>
      </w:pPr>
    </w:p>
    <w:p w:rsidR="001417C6" w:rsidRPr="00E10C9D" w:rsidRDefault="001417C6" w:rsidP="001417C6">
      <w:pPr>
        <w:spacing w:line="360" w:lineRule="auto"/>
        <w:ind w:left="84"/>
        <w:jc w:val="both"/>
        <w:rPr>
          <w:rFonts w:ascii="David" w:hAnsi="David"/>
          <w:rtl/>
        </w:rPr>
      </w:pPr>
      <w:r w:rsidRPr="00E10C9D">
        <w:rPr>
          <w:rFonts w:ascii="David" w:hAnsi="David"/>
          <w:rtl/>
        </w:rPr>
        <w:t>46.</w:t>
      </w:r>
      <w:r w:rsidRPr="00E10C9D">
        <w:rPr>
          <w:rFonts w:ascii="David" w:hAnsi="David"/>
          <w:rtl/>
        </w:rPr>
        <w:tab/>
        <w:t xml:space="preserve">ההיבט התוצאתי-אופרטיבי שזור בפסק הדין. </w:t>
      </w:r>
    </w:p>
    <w:p w:rsidR="001417C6" w:rsidRPr="00E10C9D" w:rsidRDefault="001417C6" w:rsidP="001417C6">
      <w:pPr>
        <w:spacing w:line="360" w:lineRule="auto"/>
        <w:ind w:left="84"/>
        <w:jc w:val="both"/>
        <w:rPr>
          <w:rFonts w:ascii="David" w:hAnsi="David"/>
          <w:rtl/>
        </w:rPr>
      </w:pPr>
    </w:p>
    <w:p w:rsidR="001417C6" w:rsidRPr="00E10C9D" w:rsidRDefault="001417C6" w:rsidP="001417C6">
      <w:pPr>
        <w:spacing w:line="360" w:lineRule="auto"/>
        <w:ind w:left="84"/>
        <w:jc w:val="both"/>
        <w:rPr>
          <w:rFonts w:ascii="David" w:hAnsi="David"/>
          <w:rtl/>
        </w:rPr>
      </w:pPr>
      <w:r w:rsidRPr="00E10C9D">
        <w:rPr>
          <w:rFonts w:ascii="David" w:hAnsi="David"/>
          <w:rtl/>
        </w:rPr>
        <w:t>47.</w:t>
      </w:r>
      <w:r w:rsidRPr="00E10C9D">
        <w:rPr>
          <w:rFonts w:ascii="David" w:hAnsi="David"/>
          <w:rtl/>
        </w:rPr>
        <w:tab/>
        <w:t>מתיר פרסום פסק הדין בהשמטת פרטים מזהים.</w:t>
      </w:r>
    </w:p>
    <w:p w:rsidR="001417C6" w:rsidRPr="00E10C9D" w:rsidRDefault="001417C6" w:rsidP="001417C6">
      <w:pPr>
        <w:spacing w:line="360" w:lineRule="auto"/>
        <w:ind w:left="84"/>
        <w:jc w:val="both"/>
        <w:rPr>
          <w:rFonts w:ascii="David" w:hAnsi="David"/>
          <w:rtl/>
        </w:rPr>
      </w:pPr>
    </w:p>
    <w:p w:rsidR="001417C6" w:rsidRPr="00E10C9D" w:rsidRDefault="001417C6" w:rsidP="001417C6">
      <w:pPr>
        <w:spacing w:line="360" w:lineRule="auto"/>
        <w:ind w:left="714" w:hanging="630"/>
        <w:jc w:val="both"/>
        <w:rPr>
          <w:rFonts w:ascii="David" w:hAnsi="David"/>
          <w:rtl/>
        </w:rPr>
      </w:pPr>
      <w:r w:rsidRPr="00E10C9D">
        <w:rPr>
          <w:rFonts w:ascii="David" w:hAnsi="David"/>
          <w:rtl/>
        </w:rPr>
        <w:t>48.</w:t>
      </w:r>
      <w:r w:rsidRPr="00E10C9D">
        <w:rPr>
          <w:rFonts w:ascii="David" w:hAnsi="David"/>
          <w:rtl/>
        </w:rPr>
        <w:tab/>
      </w:r>
      <w:r w:rsidRPr="00E10C9D">
        <w:rPr>
          <w:rFonts w:ascii="David" w:hAnsi="David"/>
          <w:rtl/>
        </w:rPr>
        <w:tab/>
        <w:t>תואיל המזכירות לשלוח פסק הדין לצדדים לסרוק אותו גם ב-</w:t>
      </w:r>
      <w:r w:rsidRPr="00E10C9D">
        <w:rPr>
          <w:rFonts w:ascii="David" w:hAnsi="David"/>
          <w:u w:val="single"/>
          <w:rtl/>
        </w:rPr>
        <w:t xml:space="preserve">תמ"ש 1887-03-21 </w:t>
      </w:r>
      <w:r w:rsidRPr="00E10C9D">
        <w:rPr>
          <w:rFonts w:ascii="David" w:hAnsi="David"/>
          <w:rtl/>
        </w:rPr>
        <w:t>ולסגור את שני התיקים.</w:t>
      </w:r>
    </w:p>
    <w:p w:rsidR="001417C6" w:rsidRPr="00E10C9D" w:rsidRDefault="001417C6" w:rsidP="001417C6">
      <w:pPr>
        <w:spacing w:line="360" w:lineRule="auto"/>
        <w:ind w:left="720"/>
        <w:jc w:val="both"/>
        <w:rPr>
          <w:rFonts w:ascii="David" w:hAnsi="David"/>
          <w:b/>
          <w:bCs/>
          <w:u w:val="single"/>
          <w:rtl/>
        </w:rPr>
      </w:pPr>
    </w:p>
    <w:p w:rsidR="001417C6" w:rsidRPr="00E10C9D" w:rsidRDefault="001417C6" w:rsidP="001417C6">
      <w:pPr>
        <w:spacing w:line="360" w:lineRule="auto"/>
        <w:jc w:val="both"/>
        <w:rPr>
          <w:rFonts w:ascii="David" w:hAnsi="David"/>
          <w:noProof w:val="0"/>
          <w:rtl/>
        </w:rPr>
      </w:pPr>
    </w:p>
    <w:p w:rsidR="001417C6" w:rsidRPr="00E10C9D" w:rsidRDefault="001417C6" w:rsidP="001417C6">
      <w:pPr>
        <w:spacing w:line="360" w:lineRule="auto"/>
        <w:jc w:val="both"/>
        <w:rPr>
          <w:rFonts w:ascii="David" w:hAnsi="David"/>
          <w:noProof w:val="0"/>
          <w:rtl/>
        </w:rPr>
      </w:pPr>
      <w:r w:rsidRPr="00E10C9D">
        <w:rPr>
          <w:rFonts w:ascii="David" w:hAnsi="David"/>
          <w:noProof w:val="0"/>
          <w:rtl/>
        </w:rPr>
        <w:lastRenderedPageBreak/>
        <w:t xml:space="preserve">ניתן היום,  </w:t>
      </w:r>
      <w:sdt>
        <w:sdtPr>
          <w:rPr>
            <w:rFonts w:ascii="David" w:hAnsi="David"/>
            <w:rtl/>
          </w:rPr>
          <w:alias w:val="1455"/>
          <w:tag w:val="1455"/>
          <w:id w:val="242217728"/>
          <w:text w:multiLine="1"/>
        </w:sdtPr>
        <w:sdtEndPr/>
        <w:sdtContent>
          <w:r w:rsidRPr="00E10C9D">
            <w:rPr>
              <w:rFonts w:ascii="David" w:hAnsi="David"/>
              <w:noProof w:val="0"/>
              <w:rtl/>
            </w:rPr>
            <w:t>כ"ג אב תשפ"ג</w:t>
          </w:r>
        </w:sdtContent>
      </w:sdt>
      <w:r w:rsidRPr="00E10C9D">
        <w:rPr>
          <w:rFonts w:ascii="David" w:hAnsi="David"/>
          <w:noProof w:val="0"/>
          <w:rtl/>
        </w:rPr>
        <w:t xml:space="preserve">, </w:t>
      </w:r>
      <w:sdt>
        <w:sdtPr>
          <w:rPr>
            <w:rFonts w:ascii="David" w:hAnsi="David"/>
            <w:rtl/>
          </w:rPr>
          <w:alias w:val="1456"/>
          <w:tag w:val="1456"/>
          <w:id w:val="-1101635932"/>
          <w:text w:multiLine="1"/>
        </w:sdtPr>
        <w:sdtEndPr/>
        <w:sdtContent>
          <w:r w:rsidRPr="00E10C9D">
            <w:rPr>
              <w:rFonts w:ascii="David" w:hAnsi="David"/>
              <w:noProof w:val="0"/>
              <w:rtl/>
            </w:rPr>
            <w:t>10 אוגוסט 2023</w:t>
          </w:r>
        </w:sdtContent>
      </w:sdt>
      <w:r w:rsidRPr="00E10C9D">
        <w:rPr>
          <w:rFonts w:ascii="David" w:hAnsi="David"/>
          <w:noProof w:val="0"/>
          <w:rtl/>
        </w:rPr>
        <w:t>, בהעדר הצדדים.</w:t>
      </w:r>
    </w:p>
    <w:p w:rsidR="001417C6" w:rsidRPr="00E10C9D" w:rsidRDefault="001417C6" w:rsidP="001417C6">
      <w:pPr>
        <w:spacing w:line="360" w:lineRule="auto"/>
        <w:jc w:val="both"/>
        <w:rPr>
          <w:rFonts w:ascii="David" w:hAnsi="David"/>
          <w:noProof w:val="0"/>
          <w:rtl/>
        </w:rPr>
      </w:pPr>
      <w:r w:rsidRPr="00E10C9D">
        <w:rPr>
          <w:rFonts w:ascii="David" w:hAnsi="David"/>
          <w:noProof w:val="0"/>
          <w:rtl/>
        </w:rPr>
        <w:tab/>
      </w:r>
      <w:r w:rsidRPr="00E10C9D">
        <w:rPr>
          <w:rFonts w:ascii="David" w:hAnsi="David"/>
          <w:noProof w:val="0"/>
          <w:rtl/>
        </w:rPr>
        <w:tab/>
      </w:r>
      <w:r w:rsidRPr="00E10C9D">
        <w:rPr>
          <w:rFonts w:ascii="David" w:hAnsi="David"/>
          <w:noProof w:val="0"/>
          <w:rtl/>
        </w:rPr>
        <w:tab/>
      </w:r>
      <w:r w:rsidRPr="00E10C9D">
        <w:rPr>
          <w:rFonts w:ascii="David" w:hAnsi="David"/>
          <w:noProof w:val="0"/>
          <w:rtl/>
        </w:rPr>
        <w:tab/>
      </w:r>
      <w:r w:rsidRPr="00E10C9D">
        <w:rPr>
          <w:rFonts w:ascii="David" w:hAnsi="David"/>
          <w:noProof w:val="0"/>
          <w:rtl/>
        </w:rPr>
        <w:tab/>
      </w:r>
      <w:r w:rsidRPr="00E10C9D">
        <w:rPr>
          <w:rFonts w:ascii="David" w:hAnsi="David"/>
          <w:noProof w:val="0"/>
          <w:rtl/>
        </w:rPr>
        <w:tab/>
      </w:r>
      <w:sdt>
        <w:sdtPr>
          <w:rPr>
            <w:rFonts w:ascii="David" w:hAnsi="David"/>
            <w:noProof w:val="0"/>
            <w:rtl/>
          </w:rPr>
          <w:alias w:val="2045"/>
          <w:tag w:val="2045"/>
          <w:id w:val="1736736771"/>
          <w:placeholder>
            <w:docPart w:val="88DA2AF8126C4B77A4F6FA0FE6DB4384"/>
          </w:placeholder>
          <w:showingPlcHdr/>
          <w:text w:multiLine="1"/>
        </w:sdtPr>
        <w:sdtEndPr/>
        <w:sdtContent/>
      </w:sdt>
      <w:r w:rsidRPr="00E10C9D">
        <w:rPr>
          <w:rFonts w:ascii="David" w:hAnsi="David"/>
          <w:noProof w:val="0"/>
          <w:rtl/>
        </w:rPr>
        <w:tab/>
      </w:r>
      <w:r w:rsidRPr="00E10C9D">
        <w:rPr>
          <w:rFonts w:ascii="David" w:hAnsi="David"/>
          <w:noProof w:val="0"/>
          <w:rtl/>
        </w:rPr>
        <w:tab/>
        <w:t xml:space="preserve"> </w:t>
      </w:r>
    </w:p>
    <w:p w:rsidR="001417C6" w:rsidRPr="00E10C9D" w:rsidRDefault="00413574" w:rsidP="001417C6">
      <w:pPr>
        <w:spacing w:line="360" w:lineRule="auto"/>
        <w:ind w:left="3600" w:firstLine="720"/>
        <w:rPr>
          <w:rFonts w:ascii="David" w:hAnsi="David"/>
          <w:rtl/>
        </w:rPr>
      </w:pPr>
      <w:sdt>
        <w:sdtPr>
          <w:rPr>
            <w:rFonts w:ascii="David" w:hAnsi="David"/>
            <w:rtl/>
          </w:rPr>
          <w:alias w:val="MergeField"/>
          <w:tag w:val="1237"/>
          <w:id w:val="-457569242"/>
        </w:sdtPr>
        <w:sdtEndPr/>
        <w:sdtContent>
          <w:r w:rsidR="001417C6" w:rsidRPr="00E10C9D">
            <w:rPr>
              <w:rFonts w:ascii="David" w:hAnsi="David"/>
            </w:rPr>
            <w:drawing>
              <wp:inline distT="0" distB="0" distL="0" distR="0">
                <wp:extent cx="2047875" cy="1009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47875" cy="1009650"/>
                        </a:xfrm>
                        <a:prstGeom prst="rect">
                          <a:avLst/>
                        </a:prstGeom>
                        <a:noFill/>
                        <a:ln>
                          <a:noFill/>
                        </a:ln>
                      </pic:spPr>
                    </pic:pic>
                  </a:graphicData>
                </a:graphic>
              </wp:inline>
            </w:drawing>
          </w:r>
        </w:sdtContent>
      </w:sdt>
    </w:p>
    <w:p w:rsidR="001417C6" w:rsidRPr="00E10C9D" w:rsidRDefault="001417C6" w:rsidP="001417C6">
      <w:pPr>
        <w:spacing w:line="360" w:lineRule="auto"/>
        <w:ind w:left="3600" w:firstLine="720"/>
        <w:rPr>
          <w:rFonts w:ascii="David" w:hAnsi="David"/>
          <w:noProof w:val="0"/>
        </w:rPr>
      </w:pPr>
    </w:p>
    <w:p w:rsidR="001417C6" w:rsidRPr="00E10C9D" w:rsidRDefault="001417C6" w:rsidP="001417C6">
      <w:pPr>
        <w:spacing w:line="360" w:lineRule="auto"/>
        <w:jc w:val="both"/>
        <w:rPr>
          <w:rFonts w:ascii="David" w:hAnsi="David"/>
          <w:noProof w:val="0"/>
          <w:rtl/>
        </w:rPr>
      </w:pPr>
    </w:p>
    <w:p w:rsidR="001417C6" w:rsidRPr="00E10C9D" w:rsidRDefault="001417C6" w:rsidP="001417C6">
      <w:pPr>
        <w:spacing w:line="360" w:lineRule="auto"/>
        <w:jc w:val="both"/>
        <w:rPr>
          <w:rFonts w:ascii="David" w:hAnsi="David"/>
          <w:noProof w:val="0"/>
          <w:rtl/>
        </w:rPr>
      </w:pPr>
    </w:p>
    <w:p w:rsidR="00AF5765" w:rsidRPr="00E10C9D" w:rsidRDefault="00AF5765">
      <w:pPr>
        <w:rPr>
          <w:rFonts w:ascii="David" w:hAnsi="David"/>
        </w:rPr>
      </w:pPr>
    </w:p>
    <w:sectPr w:rsidR="00AF5765" w:rsidRPr="00E10C9D"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D45D2C"/>
    <w:multiLevelType w:val="hybridMultilevel"/>
    <w:tmpl w:val="3C46C50E"/>
    <w:lvl w:ilvl="0" w:tplc="2D7C49DE">
      <w:start w:val="1"/>
      <w:numFmt w:val="decimal"/>
      <w:lvlText w:val="%1."/>
      <w:lvlJc w:val="left"/>
      <w:pPr>
        <w:ind w:left="720" w:hanging="360"/>
      </w:pPr>
      <w:rPr>
        <w:rFonts w:ascii="David" w:hAnsi="David" w:cs="David" w:hint="default"/>
        <w:sz w:val="26"/>
        <w:szCs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7C6"/>
    <w:rsid w:val="001417C6"/>
    <w:rsid w:val="002A6ADE"/>
    <w:rsid w:val="00413574"/>
    <w:rsid w:val="004A7A6B"/>
    <w:rsid w:val="00AF5765"/>
    <w:rsid w:val="00C11DC6"/>
    <w:rsid w:val="00E10C9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A4050E-8DC1-4AD3-A9D7-1170C43D7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7C6"/>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semiHidden/>
    <w:unhideWhenUsed/>
    <w:rsid w:val="001417C6"/>
    <w:rPr>
      <w:rFonts w:ascii="Times New Roman" w:hAnsi="Times New Roman" w:cs="Times New Roman" w:hint="default"/>
      <w:color w:val="0000FF"/>
      <w:u w:val="single"/>
    </w:rPr>
  </w:style>
  <w:style w:type="paragraph" w:styleId="a3">
    <w:name w:val="List Paragraph"/>
    <w:basedOn w:val="a"/>
    <w:uiPriority w:val="34"/>
    <w:qFormat/>
    <w:rsid w:val="001417C6"/>
    <w:pPr>
      <w:ind w:left="720"/>
      <w:contextualSpacing/>
    </w:pPr>
  </w:style>
  <w:style w:type="paragraph" w:customStyle="1" w:styleId="P22">
    <w:name w:val="P22"/>
    <w:basedOn w:val="a"/>
    <w:semiHidden/>
    <w:rsid w:val="001417C6"/>
    <w:pPr>
      <w:widowControl w:val="0"/>
      <w:tabs>
        <w:tab w:val="left" w:pos="1474"/>
        <w:tab w:val="left" w:pos="1928"/>
        <w:tab w:val="left" w:pos="2381"/>
        <w:tab w:val="left" w:pos="2835"/>
        <w:tab w:val="right" w:leader="dot" w:pos="6259"/>
      </w:tabs>
      <w:suppressAutoHyphens/>
      <w:autoSpaceDE w:val="0"/>
      <w:autoSpaceDN w:val="0"/>
      <w:spacing w:before="60"/>
      <w:ind w:left="2835" w:right="1021"/>
      <w:jc w:val="both"/>
    </w:pPr>
    <w:rPr>
      <w:rFonts w:cs="Times New Roman"/>
      <w:sz w:val="20"/>
      <w:szCs w:val="26"/>
      <w:lang w:eastAsia="he-IL"/>
    </w:rPr>
  </w:style>
  <w:style w:type="paragraph" w:customStyle="1" w:styleId="David">
    <w:name w:val="סגנון (עברית ושפות אחרות) David מיושר לשני הצדדים מרווח בין שורות..."/>
    <w:basedOn w:val="a"/>
    <w:rsid w:val="001417C6"/>
    <w:pPr>
      <w:spacing w:line="360" w:lineRule="auto"/>
      <w:jc w:val="both"/>
    </w:pPr>
    <w:rPr>
      <w:noProof w:val="0"/>
    </w:rPr>
  </w:style>
  <w:style w:type="character" w:customStyle="1" w:styleId="default">
    <w:name w:val="default"/>
    <w:rsid w:val="001417C6"/>
    <w:rPr>
      <w:rFonts w:ascii="Times New Roman" w:hAnsi="Times New Roman" w:cs="Times New Roman" w:hint="default"/>
      <w:sz w:val="26"/>
      <w:szCs w:val="26"/>
    </w:rPr>
  </w:style>
  <w:style w:type="table" w:styleId="a4">
    <w:name w:val="Table Grid"/>
    <w:basedOn w:val="a1"/>
    <w:rsid w:val="001417C6"/>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1417C6"/>
    <w:pPr>
      <w:tabs>
        <w:tab w:val="center" w:pos="4153"/>
        <w:tab w:val="right" w:pos="8306"/>
      </w:tabs>
    </w:pPr>
  </w:style>
  <w:style w:type="character" w:customStyle="1" w:styleId="a6">
    <w:name w:val="כותרת עליונה תו"/>
    <w:basedOn w:val="a0"/>
    <w:link w:val="a5"/>
    <w:semiHidden/>
    <w:rsid w:val="001417C6"/>
    <w:rPr>
      <w:rFonts w:ascii="Times New Roman" w:eastAsia="Times New Roman" w:hAnsi="Times New Roman" w:cs="David"/>
      <w:noProof/>
      <w:sz w:val="24"/>
      <w:szCs w:val="24"/>
    </w:rPr>
  </w:style>
  <w:style w:type="paragraph" w:styleId="NormalWeb">
    <w:name w:val="Normal (Web)"/>
    <w:basedOn w:val="a"/>
    <w:uiPriority w:val="99"/>
    <w:semiHidden/>
    <w:unhideWhenUsed/>
    <w:rsid w:val="001417C6"/>
    <w:pPr>
      <w:bidi w:val="0"/>
      <w:spacing w:before="100" w:beforeAutospacing="1" w:after="100" w:afterAutospacing="1"/>
    </w:pPr>
    <w:rPr>
      <w:rFonts w:eastAsiaTheme="minorEastAsia"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275962">
      <w:bodyDiv w:val="1"/>
      <w:marLeft w:val="0"/>
      <w:marRight w:val="0"/>
      <w:marTop w:val="0"/>
      <w:marBottom w:val="0"/>
      <w:divBdr>
        <w:top w:val="none" w:sz="0" w:space="0" w:color="auto"/>
        <w:left w:val="none" w:sz="0" w:space="0" w:color="auto"/>
        <w:bottom w:val="none" w:sz="0" w:space="0" w:color="auto"/>
        <w:right w:val="none" w:sz="0" w:space="0" w:color="auto"/>
      </w:divBdr>
    </w:div>
    <w:div w:id="1735927767">
      <w:bodyDiv w:val="1"/>
      <w:marLeft w:val="0"/>
      <w:marRight w:val="0"/>
      <w:marTop w:val="0"/>
      <w:marBottom w:val="0"/>
      <w:divBdr>
        <w:top w:val="none" w:sz="0" w:space="0" w:color="auto"/>
        <w:left w:val="none" w:sz="0" w:space="0" w:color="auto"/>
        <w:bottom w:val="none" w:sz="0" w:space="0" w:color="auto"/>
        <w:right w:val="none" w:sz="0" w:space="0" w:color="auto"/>
      </w:divBdr>
    </w:div>
    <w:div w:id="195948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4372" TargetMode="External"/><Relationship Id="rId13" Type="http://schemas.openxmlformats.org/officeDocument/2006/relationships/hyperlink" Target="http://www.nevo.co.il/links/psika/?link=&#1506;&#1488;%20788/79&amp;Pvol=&#1500;&#1493;" TargetMode="External"/><Relationship Id="rId18" Type="http://schemas.openxmlformats.org/officeDocument/2006/relationships/hyperlink" Target="http://www.nevo.co.il/links/psika/?link=&#1514;&#1488;%2034888/05" TargetMode="External"/><Relationship Id="rId26" Type="http://schemas.openxmlformats.org/officeDocument/2006/relationships/image" Target="media/image2.jpeg"/><Relationship Id="rId3" Type="http://schemas.openxmlformats.org/officeDocument/2006/relationships/settings" Target="settings.xml"/><Relationship Id="rId21" Type="http://schemas.openxmlformats.org/officeDocument/2006/relationships/hyperlink" Target="http://www.nevo.co.il/law/74372/15" TargetMode="External"/><Relationship Id="rId7" Type="http://schemas.openxmlformats.org/officeDocument/2006/relationships/hyperlink" Target="http://www.nevo.co.il/law/74372" TargetMode="External"/><Relationship Id="rId12" Type="http://schemas.openxmlformats.org/officeDocument/2006/relationships/hyperlink" Target="http://www.nevo.co.il/links/psika/?link=&#1514;&#1488;%206664/04" TargetMode="External"/><Relationship Id="rId17" Type="http://schemas.openxmlformats.org/officeDocument/2006/relationships/hyperlink" Target="http://www.nevo.co.il/links/psika/?link=&#1514;&#1488;%207101/02" TargetMode="External"/><Relationship Id="rId25" Type="http://schemas.openxmlformats.org/officeDocument/2006/relationships/hyperlink" Target="http://www.nevo.co.il/case/17947293" TargetMode="External"/><Relationship Id="rId2" Type="http://schemas.openxmlformats.org/officeDocument/2006/relationships/styles" Target="styles.xml"/><Relationship Id="rId16" Type="http://schemas.openxmlformats.org/officeDocument/2006/relationships/hyperlink" Target="http://www.nevo.co.il/links/psika/?link=&#1514;&#1511;%201677/09" TargetMode="External"/><Relationship Id="rId20" Type="http://schemas.openxmlformats.org/officeDocument/2006/relationships/hyperlink" Target="http://www.nevo.co.il/law/74372"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nevo.co.il/law/74372/15.10" TargetMode="External"/><Relationship Id="rId11" Type="http://schemas.openxmlformats.org/officeDocument/2006/relationships/hyperlink" Target="http://www.nevo.co.il/links/psika/?link=&#1506;&#1488;%20310/74&amp;Pvol=&#1500;" TargetMode="External"/><Relationship Id="rId24" Type="http://schemas.openxmlformats.org/officeDocument/2006/relationships/hyperlink" Target="http://www.nevo.co.il/links/psika/?link=&#1506;&#1488;%20641/87" TargetMode="External"/><Relationship Id="rId5" Type="http://schemas.openxmlformats.org/officeDocument/2006/relationships/image" Target="media/image1.png"/><Relationship Id="rId15" Type="http://schemas.openxmlformats.org/officeDocument/2006/relationships/hyperlink" Target="http://www.nevo.co.il/links/psika/?link=&#1514;&#1488;%2057159/04" TargetMode="External"/><Relationship Id="rId23" Type="http://schemas.openxmlformats.org/officeDocument/2006/relationships/hyperlink" Target="http://www.nevo.co.il/links/psika/?link=&#1514;&#1488;%205001/06" TargetMode="External"/><Relationship Id="rId28" Type="http://schemas.openxmlformats.org/officeDocument/2006/relationships/glossaryDocument" Target="glossary/document.xml"/><Relationship Id="rId10" Type="http://schemas.openxmlformats.org/officeDocument/2006/relationships/hyperlink" Target="http://www.nevo.co.il/law/74372" TargetMode="External"/><Relationship Id="rId19" Type="http://schemas.openxmlformats.org/officeDocument/2006/relationships/hyperlink" Target="http://www.nevo.co.il/law/74372/15.8" TargetMode="External"/><Relationship Id="rId4" Type="http://schemas.openxmlformats.org/officeDocument/2006/relationships/webSettings" Target="webSettings.xml"/><Relationship Id="rId9" Type="http://schemas.openxmlformats.org/officeDocument/2006/relationships/hyperlink" Target="http://www.nevo.co.il/links/psika/?link=&#1512;&#1506;&#1488;%201606/03" TargetMode="External"/><Relationship Id="rId14" Type="http://schemas.openxmlformats.org/officeDocument/2006/relationships/hyperlink" Target="http://www.nevo.co.il/links/psika/?NEWPROC=&#1514;&#1511;&amp;NEWPARTA=51735&amp;NEWPARTB=07&amp;NEWPARTC=10" TargetMode="External"/><Relationship Id="rId22" Type="http://schemas.openxmlformats.org/officeDocument/2006/relationships/hyperlink" Target="http://www.nevo.co.il/law/74372/15.8"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8DA2AF8126C4B77A4F6FA0FE6DB4384"/>
        <w:category>
          <w:name w:val="כללי"/>
          <w:gallery w:val="placeholder"/>
        </w:category>
        <w:types>
          <w:type w:val="bbPlcHdr"/>
        </w:types>
        <w:behaviors>
          <w:behavior w:val="content"/>
        </w:behaviors>
        <w:guid w:val="{3EE1818D-6150-4AF9-9198-DDB4AC187F49}"/>
      </w:docPartPr>
      <w:docPartBody>
        <w:p w:rsidR="00214020" w:rsidRDefault="009D7DBA" w:rsidP="009D7DBA">
          <w:pPr>
            <w:pStyle w:val="88DA2AF8126C4B77A4F6FA0FE6DB4384"/>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DBA"/>
    <w:rsid w:val="00214020"/>
    <w:rsid w:val="002E5C33"/>
    <w:rsid w:val="003009A7"/>
    <w:rsid w:val="009D7DBA"/>
    <w:rsid w:val="00C60DA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D7DBA"/>
  </w:style>
  <w:style w:type="paragraph" w:customStyle="1" w:styleId="88DA2AF8126C4B77A4F6FA0FE6DB4384">
    <w:name w:val="88DA2AF8126C4B77A4F6FA0FE6DB4384"/>
    <w:rsid w:val="009D7DB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8403</Words>
  <Characters>42016</Characters>
  <Application>Microsoft Office Word</Application>
  <DocSecurity>0</DocSecurity>
  <Lines>350</Lines>
  <Paragraphs>100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2023-10-30T08:28:00Z</dcterms:created>
  <dcterms:modified xsi:type="dcterms:W3CDTF">2023-10-30T08:28:00Z</dcterms:modified>
</cp:coreProperties>
</file>